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40"/>
        <w:ind w:end="-432"/>
        <w:jc w:val="end"/>
        <w:rPr>
          <w:rFonts w:ascii="Calibri" w:hAnsi="Calibri" w:cs="Calibri"/>
          <w:b/>
          <w:bCs/>
        </w:rPr>
      </w:pPr>
      <w:r>
        <w:rPr>
          <w:rFonts w:eastAsia="Calibri" w:cs="Calibri" w:ascii="Calibri" w:hAnsi="Calibri"/>
          <w:b/>
          <w:bCs/>
        </w:rPr>
        <w:t>Załącznik nr …….. do SWZ</w:t>
      </w:r>
    </w:p>
    <w:p>
      <w:pPr>
        <w:pStyle w:val="Normal"/>
        <w:spacing w:lineRule="auto" w:line="276" w:before="0" w:after="0"/>
        <w:jc w:val="end"/>
        <w:rPr>
          <w:rFonts w:ascii="Calibri" w:hAnsi="Calibri" w:cs="Calibri"/>
          <w:bCs/>
        </w:rPr>
      </w:pPr>
      <w:r>
        <w:rPr>
          <w:rFonts w:eastAsia="Calibri" w:cs="Calibri" w:ascii="Calibri" w:hAnsi="Calibri"/>
          <w:bCs/>
          <w:lang w:eastAsia="pl-PL"/>
        </w:rPr>
        <w:t>PROJEKT UMOWY</w:t>
      </w:r>
    </w:p>
    <w:p>
      <w:pPr>
        <w:pStyle w:val="Normal"/>
        <w:spacing w:lineRule="auto" w:line="276" w:before="0" w:after="0"/>
        <w:jc w:val="end"/>
        <w:rPr>
          <w:rFonts w:ascii="Calibri" w:hAnsi="Calibri" w:cs="Calibri"/>
          <w:bCs/>
        </w:rPr>
      </w:pPr>
      <w:r>
        <w:rPr>
          <w:rFonts w:cs="Calibri" w:ascii="Calibri" w:hAnsi="Calibri"/>
          <w:bCs/>
        </w:rPr>
      </w:r>
    </w:p>
    <w:p>
      <w:pPr>
        <w:pStyle w:val="Normal"/>
        <w:spacing w:lineRule="auto" w:line="276" w:before="0" w:after="0"/>
        <w:jc w:val="center"/>
        <w:rPr>
          <w:rFonts w:ascii="Calibri" w:hAnsi="Calibri" w:eastAsia="Calibri" w:cs="Calibri"/>
          <w:b/>
          <w:bCs/>
          <w:lang w:eastAsia="pl-PL"/>
        </w:rPr>
      </w:pPr>
      <w:r>
        <w:rPr>
          <w:rFonts w:eastAsia="Calibri" w:cs="Calibri" w:ascii="Calibri" w:hAnsi="Calibri"/>
          <w:b/>
          <w:lang w:eastAsia="pl-PL"/>
        </w:rPr>
        <w:t>UMOWA NR ………………………………..</w:t>
      </w:r>
    </w:p>
    <w:p>
      <w:pPr>
        <w:pStyle w:val="Normal"/>
        <w:spacing w:lineRule="auto" w:line="276" w:before="0" w:after="0"/>
        <w:jc w:val="center"/>
        <w:rPr>
          <w:rFonts w:ascii="Calibri" w:hAnsi="Calibri" w:cs="Calibri"/>
          <w:b/>
          <w:bCs/>
        </w:rPr>
      </w:pPr>
      <w:r>
        <w:rPr>
          <w:rFonts w:eastAsia="Calibri" w:cs="Calibri" w:ascii="Calibri" w:hAnsi="Calibri"/>
          <w:b/>
          <w:lang w:eastAsia="pl-PL"/>
        </w:rPr>
        <w:t>Z dnia.......................</w:t>
      </w:r>
    </w:p>
    <w:p>
      <w:pPr>
        <w:pStyle w:val="Normal"/>
        <w:spacing w:lineRule="auto" w:line="276" w:before="0" w:after="0"/>
        <w:jc w:val="both"/>
        <w:rPr>
          <w:rFonts w:ascii="Calibri" w:hAnsi="Calibri" w:cs="Calibri"/>
          <w:b/>
        </w:rPr>
      </w:pPr>
      <w:r>
        <w:rPr>
          <w:rFonts w:eastAsia="Calibri" w:cs="Calibri" w:ascii="Calibri" w:hAnsi="Calibri"/>
          <w:lang w:eastAsia="pl-PL"/>
        </w:rPr>
        <w:t xml:space="preserve">Zawarta została umowa pomiędzy </w:t>
      </w:r>
      <w:r>
        <w:rPr>
          <w:rFonts w:eastAsia="Calibri" w:cs="Calibri" w:ascii="Calibri" w:hAnsi="Calibri"/>
          <w:b/>
          <w:lang w:eastAsia="pl-PL"/>
        </w:rPr>
        <w:t>Gminą Kunice, 59-216 Kunice, ul.</w:t>
      </w:r>
      <w:r>
        <w:rPr>
          <w:rFonts w:eastAsia="Calibri" w:cs="Calibri" w:ascii="Calibri" w:hAnsi="Calibri"/>
          <w:lang w:eastAsia="pl-PL"/>
        </w:rPr>
        <w:t> </w:t>
      </w:r>
      <w:r>
        <w:rPr>
          <w:rFonts w:eastAsia="Calibri" w:cs="Calibri" w:ascii="Calibri" w:hAnsi="Calibri"/>
          <w:b/>
          <w:lang w:eastAsia="pl-PL"/>
        </w:rPr>
        <w:t>Gwarna 1,</w:t>
      </w:r>
      <w:r>
        <w:rPr>
          <w:rFonts w:eastAsia="Calibri" w:cs="Calibri" w:ascii="Calibri" w:hAnsi="Calibri"/>
          <w:lang w:eastAsia="pl-PL"/>
        </w:rPr>
        <w:t xml:space="preserve"> </w:t>
      </w:r>
      <w:r>
        <w:rPr>
          <w:rFonts w:eastAsia="Calibri" w:cs="Calibri" w:ascii="Calibri" w:hAnsi="Calibri"/>
          <w:b/>
          <w:lang w:eastAsia="pl-PL"/>
        </w:rPr>
        <w:t>NIP: 691-21-46-015</w:t>
      </w:r>
      <w:r>
        <w:rPr>
          <w:rFonts w:eastAsia="Calibri" w:cs="Calibri" w:ascii="Calibri" w:hAnsi="Calibri"/>
          <w:lang w:eastAsia="pl-PL"/>
        </w:rPr>
        <w:t xml:space="preserve"> </w:t>
      </w:r>
      <w:r>
        <w:rPr>
          <w:rFonts w:eastAsia="Calibri" w:cs="Calibri" w:ascii="Calibri" w:hAnsi="Calibri"/>
          <w:b/>
          <w:lang w:eastAsia="pl-PL"/>
        </w:rPr>
        <w:t>Regon: 390-647-475</w:t>
      </w:r>
      <w:r>
        <w:rPr>
          <w:rFonts w:eastAsia="Calibri" w:cs="Calibri" w:ascii="Calibri" w:hAnsi="Calibri"/>
          <w:lang w:eastAsia="pl-PL"/>
        </w:rPr>
        <w:t xml:space="preserve">, którą reprezentuje </w:t>
      </w:r>
    </w:p>
    <w:p>
      <w:pPr>
        <w:pStyle w:val="Normal"/>
        <w:spacing w:lineRule="auto" w:line="276" w:before="0" w:after="0"/>
        <w:jc w:val="both"/>
        <w:rPr>
          <w:rFonts w:ascii="Calibri" w:hAnsi="Calibri" w:cs="Calibri"/>
          <w:b/>
        </w:rPr>
      </w:pPr>
      <w:r>
        <w:rPr>
          <w:rFonts w:eastAsia="Calibri" w:cs="Calibri" w:ascii="Calibri" w:hAnsi="Calibri"/>
          <w:b/>
        </w:rPr>
        <w:t xml:space="preserve">Krzysztof Błądziński – Wójt Gminy Kunice </w:t>
      </w:r>
    </w:p>
    <w:p>
      <w:pPr>
        <w:pStyle w:val="Normal"/>
        <w:spacing w:lineRule="auto" w:line="276" w:before="0" w:after="0"/>
        <w:jc w:val="both"/>
        <w:rPr>
          <w:rFonts w:ascii="Calibri" w:hAnsi="Calibri" w:cs="Calibri"/>
        </w:rPr>
      </w:pPr>
      <w:r>
        <w:rPr>
          <w:rFonts w:eastAsia="Calibri" w:cs="Calibri" w:ascii="Calibri" w:hAnsi="Calibri"/>
          <w:b/>
          <w:lang w:eastAsia="pl-PL"/>
        </w:rPr>
        <w:t>przy kontrasygnacie Moniki Szperna – Skarbnika Gminy</w:t>
      </w:r>
      <w:r>
        <w:rPr>
          <w:rFonts w:eastAsia="Calibri" w:cs="Calibri" w:ascii="Calibri" w:hAnsi="Calibri"/>
          <w:lang w:eastAsia="pl-PL"/>
        </w:rPr>
        <w:t xml:space="preserve"> </w:t>
      </w:r>
    </w:p>
    <w:p>
      <w:pPr>
        <w:pStyle w:val="Normal"/>
        <w:spacing w:lineRule="auto" w:line="276" w:before="0" w:after="0"/>
        <w:jc w:val="both"/>
        <w:rPr>
          <w:rFonts w:ascii="Calibri" w:hAnsi="Calibri" w:cs="Calibri"/>
        </w:rPr>
      </w:pPr>
      <w:r>
        <w:rPr>
          <w:rFonts w:eastAsia="Calibri" w:cs="Calibri" w:ascii="Calibri" w:hAnsi="Calibri"/>
          <w:lang w:eastAsia="pl-PL"/>
        </w:rPr>
        <w:t xml:space="preserve">zwaną dalej </w:t>
      </w:r>
      <w:r>
        <w:rPr>
          <w:rFonts w:eastAsia="Calibri" w:cs="Calibri" w:ascii="Calibri" w:hAnsi="Calibri"/>
        </w:rPr>
        <w:t>,,</w:t>
      </w:r>
      <w:r>
        <w:rPr>
          <w:rFonts w:eastAsia="Calibri" w:cs="Calibri" w:ascii="Calibri" w:hAnsi="Calibri"/>
          <w:b/>
          <w:lang w:eastAsia="pl-PL"/>
        </w:rPr>
        <w:t>Zamawiającym</w:t>
      </w:r>
      <w:r>
        <w:rPr>
          <w:rFonts w:eastAsia="Calibri" w:cs="Calibri" w:ascii="Calibri" w:hAnsi="Calibri"/>
        </w:rPr>
        <w:t>”</w:t>
      </w:r>
    </w:p>
    <w:p>
      <w:pPr>
        <w:pStyle w:val="Normal"/>
        <w:spacing w:lineRule="auto" w:line="276" w:before="0" w:after="0"/>
        <w:jc w:val="both"/>
        <w:rPr>
          <w:rFonts w:ascii="Calibri" w:hAnsi="Calibri" w:cs="Calibri"/>
          <w:b/>
        </w:rPr>
      </w:pPr>
      <w:r>
        <w:rPr>
          <w:rFonts w:cs="Calibri" w:ascii="Calibri" w:hAnsi="Calibri"/>
          <w:b/>
        </w:rPr>
      </w:r>
    </w:p>
    <w:p>
      <w:pPr>
        <w:pStyle w:val="Normal"/>
        <w:spacing w:lineRule="auto" w:line="276" w:before="0" w:after="0"/>
        <w:jc w:val="both"/>
        <w:rPr>
          <w:rFonts w:ascii="Calibri" w:hAnsi="Calibri" w:cs="Calibri"/>
        </w:rPr>
      </w:pPr>
      <w:r>
        <w:rPr>
          <w:rFonts w:eastAsia="Calibri" w:cs="Calibri" w:ascii="Calibri" w:hAnsi="Calibri"/>
          <w:lang w:eastAsia="pl-PL"/>
        </w:rPr>
        <w:t>a</w:t>
      </w:r>
    </w:p>
    <w:p>
      <w:pPr>
        <w:pStyle w:val="Normal"/>
        <w:spacing w:lineRule="auto" w:line="276"/>
        <w:jc w:val="both"/>
        <w:rPr>
          <w:rFonts w:ascii="Calibri" w:hAnsi="Calibri" w:cs="Calibri"/>
        </w:rPr>
      </w:pPr>
      <w:r>
        <w:rPr>
          <w:rFonts w:eastAsia="Calibri" w:cs="Calibri" w:ascii="Calibri" w:hAnsi="Calibri"/>
          <w:lang w:eastAsia="pl-PL"/>
        </w:rPr>
        <w:t xml:space="preserve">............................................................................................................................................................................. </w:t>
      </w:r>
    </w:p>
    <w:p>
      <w:pPr>
        <w:pStyle w:val="Normal"/>
        <w:spacing w:lineRule="auto" w:line="276"/>
        <w:jc w:val="both"/>
        <w:rPr>
          <w:rFonts w:ascii="Calibri" w:hAnsi="Calibri" w:cs="Calibri"/>
        </w:rPr>
      </w:pPr>
      <w:r>
        <w:rPr>
          <w:rFonts w:eastAsia="Calibri" w:cs="Calibri" w:ascii="Calibri" w:hAnsi="Calibri"/>
          <w:lang w:eastAsia="pl-PL"/>
        </w:rPr>
        <w:t xml:space="preserve">............................................................................................................................................................................. </w:t>
      </w:r>
    </w:p>
    <w:p>
      <w:pPr>
        <w:pStyle w:val="Normal"/>
        <w:spacing w:lineRule="auto" w:line="276" w:before="0" w:after="0"/>
        <w:jc w:val="both"/>
        <w:rPr>
          <w:rFonts w:ascii="Calibri" w:hAnsi="Calibri" w:cs="Calibri"/>
        </w:rPr>
      </w:pPr>
      <w:r>
        <w:rPr>
          <w:rFonts w:eastAsia="Calibri" w:cs="Calibri" w:ascii="Calibri" w:hAnsi="Calibri"/>
          <w:lang w:eastAsia="pl-PL"/>
        </w:rPr>
        <w:t xml:space="preserve">............................................................................................................................................................................. </w:t>
      </w:r>
    </w:p>
    <w:p>
      <w:pPr>
        <w:pStyle w:val="Normal"/>
        <w:spacing w:lineRule="auto" w:line="276" w:before="0" w:after="0"/>
        <w:rPr>
          <w:rFonts w:ascii="Calibri" w:hAnsi="Calibri" w:cs="Calibri"/>
        </w:rPr>
      </w:pPr>
      <w:r>
        <w:rPr>
          <w:rFonts w:eastAsia="Calibri" w:cs="Calibri" w:ascii="Calibri" w:hAnsi="Calibri"/>
        </w:rPr>
        <w:t xml:space="preserve">zwany dalej </w:t>
      </w:r>
      <w:r>
        <w:rPr>
          <w:rFonts w:eastAsia="Calibri" w:cs="Calibri" w:ascii="Calibri" w:hAnsi="Calibri"/>
          <w:b/>
        </w:rPr>
        <w:t>Wykonawcą</w:t>
      </w:r>
      <w:r>
        <w:rPr>
          <w:rFonts w:eastAsia="Calibri" w:cs="Calibri" w:ascii="Calibri" w:hAnsi="Calibri"/>
        </w:rPr>
        <w:t>.</w:t>
      </w:r>
    </w:p>
    <w:p>
      <w:pPr>
        <w:pStyle w:val="Normal"/>
        <w:spacing w:lineRule="auto" w:line="276" w:before="0" w:after="0"/>
        <w:jc w:val="center"/>
        <w:rPr>
          <w:rFonts w:ascii="Calibri" w:hAnsi="Calibri" w:cs="Calibri"/>
        </w:rPr>
      </w:pPr>
      <w:r>
        <w:rPr>
          <w:rFonts w:cs="Calibri" w:ascii="Calibri" w:hAnsi="Calibri"/>
        </w:rPr>
      </w:r>
    </w:p>
    <w:p>
      <w:pPr>
        <w:pStyle w:val="Normal"/>
        <w:jc w:val="both"/>
        <w:rPr>
          <w:rFonts w:ascii="Calibri" w:hAnsi="Calibri" w:cs="Calibri"/>
          <w:b/>
          <w:bCs/>
        </w:rPr>
      </w:pPr>
      <w:r>
        <w:rPr>
          <w:rFonts w:eastAsia="Calibri" w:cs="Calibri" w:ascii="Calibri" w:hAnsi="Calibri"/>
          <w:lang w:eastAsia="pl-PL"/>
        </w:rPr>
        <w:t xml:space="preserve">W rezultacie dokonania przez Zamawiającego wyboru oferty w postępowaniu przeprowadzonym </w:t>
        <w:br/>
        <w:t>w trybie podstawowym z możliwością negocjacji (art. 275 pkt 2 ustawy z 11 września 2019r. Prawo zamówień publicznych (Dz.U. z 2024 r. poz. 1320 ze zm.)</w:t>
      </w:r>
      <w:r>
        <w:rPr>
          <w:rFonts w:eastAsia="Calibri" w:cs="Calibri" w:ascii="Calibri" w:hAnsi="Calibri"/>
        </w:rPr>
        <w:t xml:space="preserve"> o wartości zamówienia nie przekraczającej progów unijnych (art. 3 powyższej ustawy) na robotę budowlaną </w:t>
      </w:r>
      <w:r>
        <w:rPr>
          <w:rStyle w:val="SubtleEmphasis"/>
          <w:rFonts w:eastAsia="Calibri" w:cs="Calibri" w:ascii="Calibri" w:hAnsi="Calibri"/>
          <w:i w:val="false"/>
          <w:color w:val="auto"/>
        </w:rPr>
        <w:t xml:space="preserve">w systemie „zaprojektuj i wybuduj” </w:t>
        <w:br/>
      </w:r>
      <w:r>
        <w:rPr>
          <w:rFonts w:eastAsia="Calibri" w:cs="Calibri" w:ascii="Calibri" w:hAnsi="Calibri"/>
        </w:rPr>
        <w:t>z nazwą</w:t>
      </w:r>
      <w:r>
        <w:rPr>
          <w:rFonts w:eastAsia="Calibri" w:cs="Calibri" w:ascii="Calibri" w:hAnsi="Calibri"/>
          <w:i/>
        </w:rPr>
        <w:t xml:space="preserve"> </w:t>
      </w:r>
      <w:r>
        <w:rPr>
          <w:rFonts w:eastAsia="Calibri" w:cs="Calibri" w:ascii="Calibri" w:hAnsi="Calibri"/>
          <w:b/>
          <w:bCs/>
          <w:iCs/>
        </w:rPr>
        <w:t>„Budowa ścieżki rowerowej wraz z infrastrukturą turystyczną</w:t>
      </w:r>
      <w:r>
        <w:rPr>
          <w:rFonts w:eastAsia="Calibri" w:cs="Calibri" w:ascii="Calibri" w:hAnsi="Calibri"/>
          <w:b/>
          <w:bCs/>
        </w:rPr>
        <w:t xml:space="preserve"> </w:t>
      </w:r>
      <w:r>
        <w:rPr>
          <w:rFonts w:eastAsia="Calibri" w:cs="Calibri" w:ascii="Calibri" w:hAnsi="Calibri"/>
          <w:b/>
          <w:bCs/>
          <w:iCs/>
        </w:rPr>
        <w:t>o dł. ok. 8 km po trasie dawnej linii kolejowej relacji Legnica -</w:t>
      </w:r>
      <w:r>
        <w:rPr>
          <w:rFonts w:eastAsia="Calibri" w:cs="Calibri" w:ascii="Calibri" w:hAnsi="Calibri"/>
          <w:b/>
          <w:bCs/>
        </w:rPr>
        <w:t xml:space="preserve"> </w:t>
      </w:r>
      <w:r>
        <w:rPr>
          <w:rFonts w:eastAsia="Calibri" w:cs="Calibri" w:ascii="Calibri" w:hAnsi="Calibri"/>
          <w:b/>
          <w:bCs/>
          <w:iCs/>
        </w:rPr>
        <w:t>Prochowice, przebiegającej przez miejscowości Szczytniki</w:t>
      </w:r>
      <w:r>
        <w:rPr>
          <w:rFonts w:eastAsia="Calibri" w:cs="Calibri" w:ascii="Calibri" w:hAnsi="Calibri"/>
          <w:b/>
          <w:bCs/>
        </w:rPr>
        <w:t xml:space="preserve"> </w:t>
      </w:r>
      <w:r>
        <w:rPr>
          <w:rFonts w:eastAsia="Calibri" w:cs="Calibri" w:ascii="Calibri" w:hAnsi="Calibri"/>
          <w:b/>
          <w:bCs/>
          <w:iCs/>
        </w:rPr>
        <w:t>nad Kaczawą, Bieniowice, Pątnów Legnicki</w:t>
      </w:r>
      <w:r>
        <w:rPr>
          <w:rFonts w:eastAsia="Calibri" w:cs="Calibri" w:ascii="Calibri" w:hAnsi="Calibri"/>
          <w:b/>
          <w:bCs/>
        </w:rPr>
        <w:t>”</w:t>
      </w:r>
    </w:p>
    <w:p>
      <w:pPr>
        <w:pStyle w:val="Normal"/>
        <w:spacing w:lineRule="auto" w:line="276" w:before="0" w:after="0"/>
        <w:jc w:val="both"/>
        <w:rPr>
          <w:rFonts w:ascii="Calibri" w:hAnsi="Calibri" w:cs="Calibri"/>
        </w:rPr>
      </w:pPr>
      <w:r>
        <w:rPr>
          <w:rStyle w:val="SubtleEmphasis"/>
          <w:rFonts w:eastAsia="Calibri" w:cs="Calibri" w:ascii="Calibri" w:hAnsi="Calibri"/>
          <w:i w:val="false"/>
          <w:color w:val="auto"/>
        </w:rPr>
        <w:t xml:space="preserve"> </w:t>
      </w:r>
      <w:r>
        <w:rPr>
          <w:rStyle w:val="SubtleEmphasis"/>
          <w:rFonts w:eastAsia="Calibri" w:cs="Calibri" w:ascii="Calibri" w:hAnsi="Calibri"/>
          <w:i w:val="false"/>
          <w:color w:val="auto"/>
        </w:rPr>
        <w:t>zawiera się umowę o treści następującej</w:t>
      </w:r>
      <w:r>
        <w:rPr>
          <w:rFonts w:eastAsia="Calibri" w:cs="Calibri" w:ascii="Calibri" w:hAnsi="Calibri"/>
          <w:lang w:eastAsia="pl-PL"/>
        </w:rPr>
        <w:t xml:space="preserve"> treści:</w:t>
      </w:r>
    </w:p>
    <w:p>
      <w:pPr>
        <w:pStyle w:val="Normal"/>
        <w:spacing w:lineRule="auto" w:line="276" w:before="0" w:after="0"/>
        <w:jc w:val="center"/>
        <w:rPr>
          <w:rFonts w:ascii="Calibri" w:hAnsi="Calibri" w:cs="Calibri"/>
          <w:b/>
        </w:rPr>
      </w:pPr>
      <w:r>
        <w:rPr>
          <w:rFonts w:eastAsia="Calibri" w:cs="Calibri" w:ascii="Calibri" w:hAnsi="Calibri"/>
          <w:b/>
          <w:lang w:eastAsia="pl-PL"/>
        </w:rPr>
        <w:t>§ 1</w:t>
      </w:r>
    </w:p>
    <w:p>
      <w:pPr>
        <w:pStyle w:val="Normal"/>
        <w:spacing w:lineRule="auto" w:line="276" w:before="0" w:after="0"/>
        <w:jc w:val="center"/>
        <w:rPr>
          <w:rFonts w:ascii="Calibri" w:hAnsi="Calibri" w:cs="Calibri"/>
          <w:b/>
        </w:rPr>
      </w:pPr>
      <w:r>
        <w:rPr>
          <w:rFonts w:eastAsia="Calibri" w:cs="Calibri" w:ascii="Calibri" w:hAnsi="Calibri"/>
          <w:b/>
          <w:lang w:eastAsia="pl-PL"/>
        </w:rPr>
        <w:t>Przedmiot zamówienia</w:t>
      </w:r>
    </w:p>
    <w:p>
      <w:pPr>
        <w:pStyle w:val="Normal"/>
        <w:jc w:val="both"/>
        <w:rPr>
          <w:rFonts w:ascii="Calibri" w:hAnsi="Calibri" w:cs="Calibri"/>
          <w:b/>
          <w:bCs/>
        </w:rPr>
      </w:pPr>
      <w:r>
        <w:rPr>
          <w:rFonts w:eastAsia="Calibri" w:cs="Calibri" w:ascii="Calibri" w:hAnsi="Calibri"/>
          <w:bCs/>
        </w:rPr>
        <w:t xml:space="preserve">Zakres zamówienia obejmuje </w:t>
      </w:r>
      <w:r>
        <w:rPr>
          <w:rFonts w:eastAsia="Calibri" w:cs="Calibri" w:ascii="Calibri" w:hAnsi="Calibri"/>
          <w:lang w:eastAsia="pl-PL"/>
        </w:rPr>
        <w:t xml:space="preserve">opracowanie kompletnej dokumentacji projektowej wraz z uzyskaniem decyzji pozwolenia na budowę lub braku sprzeciwu w zakresie zamiaru przystąpienia do wykonania robót budowlanych nie wymagających pozwolenia na budowę, dla zadania pn.: </w:t>
      </w:r>
      <w:r>
        <w:rPr>
          <w:rFonts w:eastAsia="Calibri" w:cs="Calibri" w:ascii="Calibri" w:hAnsi="Calibri"/>
          <w:b/>
          <w:bCs/>
          <w:iCs/>
        </w:rPr>
        <w:t>„Budowa ścieżki rowerowej wraz z infrastrukturą turystyczną</w:t>
      </w:r>
      <w:r>
        <w:rPr>
          <w:rFonts w:eastAsia="Calibri" w:cs="Calibri" w:ascii="Calibri" w:hAnsi="Calibri"/>
          <w:b/>
          <w:bCs/>
        </w:rPr>
        <w:t xml:space="preserve"> </w:t>
      </w:r>
      <w:r>
        <w:rPr>
          <w:rFonts w:eastAsia="Calibri" w:cs="Calibri" w:ascii="Calibri" w:hAnsi="Calibri"/>
          <w:b/>
          <w:bCs/>
          <w:iCs/>
        </w:rPr>
        <w:t>o dł. ok. 8 km po trasie dawnej linii kolejowej relacji Legnica -</w:t>
      </w:r>
      <w:r>
        <w:rPr>
          <w:rFonts w:eastAsia="Calibri" w:cs="Calibri" w:ascii="Calibri" w:hAnsi="Calibri"/>
          <w:b/>
          <w:bCs/>
        </w:rPr>
        <w:t xml:space="preserve"> </w:t>
      </w:r>
      <w:r>
        <w:rPr>
          <w:rFonts w:eastAsia="Calibri" w:cs="Calibri" w:ascii="Calibri" w:hAnsi="Calibri"/>
          <w:b/>
          <w:bCs/>
          <w:iCs/>
        </w:rPr>
        <w:t>Prochowice, przebiegającej przez miejscowości Szczytniki</w:t>
      </w:r>
      <w:r>
        <w:rPr>
          <w:rFonts w:eastAsia="Calibri" w:cs="Calibri" w:ascii="Calibri" w:hAnsi="Calibri"/>
          <w:b/>
          <w:bCs/>
        </w:rPr>
        <w:t xml:space="preserve"> </w:t>
      </w:r>
      <w:r>
        <w:rPr>
          <w:rFonts w:eastAsia="Calibri" w:cs="Calibri" w:ascii="Calibri" w:hAnsi="Calibri"/>
          <w:b/>
          <w:bCs/>
          <w:iCs/>
        </w:rPr>
        <w:t>nad Kaczawą, Bieniowice, Pątnów Legnicki</w:t>
      </w:r>
      <w:r>
        <w:rPr>
          <w:rFonts w:eastAsia="Calibri" w:cs="Calibri" w:ascii="Calibri" w:hAnsi="Calibri"/>
          <w:b/>
          <w:bCs/>
        </w:rPr>
        <w:t xml:space="preserve">” </w:t>
      </w:r>
      <w:r>
        <w:rPr>
          <w:rFonts w:eastAsia="Calibri" w:cs="Calibri" w:ascii="Calibri" w:hAnsi="Calibri"/>
          <w:iCs/>
        </w:rPr>
        <w:t xml:space="preserve"> wraz z wykonaniem robót budowlanych na podstawie tej dokumentacji.</w:t>
      </w:r>
    </w:p>
    <w:p>
      <w:pPr>
        <w:pStyle w:val="BodyText"/>
        <w:widowControl w:val="false"/>
        <w:numPr>
          <w:ilvl w:val="0"/>
          <w:numId w:val="45"/>
        </w:numPr>
        <w:spacing w:lineRule="auto" w:line="276" w:before="116" w:after="0"/>
        <w:jc w:val="both"/>
        <w:rPr>
          <w:rFonts w:ascii="Calibri" w:hAnsi="Calibri" w:cs="Calibri"/>
          <w:sz w:val="22"/>
          <w:szCs w:val="22"/>
        </w:rPr>
      </w:pPr>
      <w:r>
        <w:rPr>
          <w:rFonts w:eastAsia="Calibri" w:cs="Calibri" w:ascii="Calibri" w:hAnsi="Calibri"/>
          <w:sz w:val="22"/>
          <w:szCs w:val="22"/>
          <w:lang w:eastAsia="pl-PL"/>
        </w:rPr>
        <w:t xml:space="preserve">Zamawiający zamawia a Wykonawca zobowiązuje się wykonać przedmiot umowy, określony </w:t>
        <w:br/>
        <w:t>w ust. 1 niniejszego paragrafu, na który składają się:</w:t>
      </w:r>
    </w:p>
    <w:p>
      <w:pPr>
        <w:pStyle w:val="BodyText"/>
        <w:widowControl w:val="false"/>
        <w:numPr>
          <w:ilvl w:val="0"/>
          <w:numId w:val="45"/>
        </w:numPr>
        <w:spacing w:lineRule="auto" w:line="276" w:before="116" w:after="0"/>
        <w:jc w:val="both"/>
        <w:rPr>
          <w:rFonts w:ascii="Calibri" w:hAnsi="Calibri" w:cs="Calibri"/>
          <w:sz w:val="22"/>
          <w:szCs w:val="22"/>
        </w:rPr>
      </w:pPr>
      <w:r>
        <w:rPr>
          <w:rFonts w:eastAsia="Calibri" w:cs="Calibri" w:ascii="Calibri" w:hAnsi="Calibri"/>
          <w:sz w:val="22"/>
          <w:szCs w:val="22"/>
          <w:lang w:eastAsia="pl-PL"/>
        </w:rPr>
        <w:t>sporządzenie kompletnej wielobranżowej dokumentacji projektowej wraz z uzyskaniem przez Wykonawcę wszystkich niezbędnych decyzji, opinii, uzgodnień, sprawdzeń w zakresie niezbędnym do opracowania dokumentacji projektowej,</w:t>
      </w:r>
    </w:p>
    <w:p>
      <w:pPr>
        <w:pStyle w:val="BodyText"/>
        <w:widowControl w:val="false"/>
        <w:numPr>
          <w:ilvl w:val="0"/>
          <w:numId w:val="45"/>
        </w:numPr>
        <w:spacing w:lineRule="auto" w:line="276" w:before="116" w:after="0"/>
        <w:jc w:val="both"/>
        <w:rPr>
          <w:rFonts w:ascii="Calibri" w:hAnsi="Calibri" w:cs="Calibri"/>
          <w:sz w:val="22"/>
          <w:szCs w:val="22"/>
        </w:rPr>
      </w:pPr>
      <w:r>
        <w:rPr>
          <w:rFonts w:eastAsia="Calibri" w:cs="Calibri" w:ascii="Calibri" w:hAnsi="Calibri"/>
          <w:sz w:val="22"/>
          <w:szCs w:val="22"/>
          <w:lang w:eastAsia="pl-PL"/>
        </w:rPr>
        <w:t>uzyskanie w imieniu i na rzecz Zamawiającego pozwolenia na budowę oraz uzgodnień/ decyzji/ pozwoleń/zgłoszeń wymaganych przepisania prawa pozwalających na realizację robót budowlanych ,</w:t>
      </w:r>
    </w:p>
    <w:p>
      <w:pPr>
        <w:pStyle w:val="BodyText"/>
        <w:widowControl w:val="false"/>
        <w:numPr>
          <w:ilvl w:val="0"/>
          <w:numId w:val="45"/>
        </w:numPr>
        <w:spacing w:lineRule="auto" w:line="276" w:before="116" w:after="0"/>
        <w:jc w:val="both"/>
        <w:rPr>
          <w:rFonts w:ascii="Calibri" w:hAnsi="Calibri" w:cs="Calibri"/>
          <w:sz w:val="22"/>
          <w:szCs w:val="22"/>
        </w:rPr>
      </w:pPr>
      <w:r>
        <w:rPr>
          <w:rFonts w:eastAsia="Calibri" w:cs="Calibri" w:ascii="Calibri" w:hAnsi="Calibri"/>
          <w:sz w:val="22"/>
          <w:szCs w:val="22"/>
          <w:lang w:eastAsia="pl-PL"/>
        </w:rPr>
        <w:t>przeniesienie na rzecz Zamawiającego autorskich praw majątkowych do projektu – utworów opracowanych w ramach przedmiotu zamówienia,</w:t>
      </w:r>
    </w:p>
    <w:p>
      <w:pPr>
        <w:pStyle w:val="BodyText"/>
        <w:widowControl w:val="false"/>
        <w:numPr>
          <w:ilvl w:val="0"/>
          <w:numId w:val="45"/>
        </w:numPr>
        <w:spacing w:lineRule="auto" w:line="276" w:before="116" w:after="0"/>
        <w:jc w:val="both"/>
        <w:rPr>
          <w:rFonts w:ascii="Calibri" w:hAnsi="Calibri" w:cs="Calibri"/>
          <w:sz w:val="22"/>
          <w:szCs w:val="22"/>
        </w:rPr>
      </w:pPr>
      <w:r>
        <w:rPr>
          <w:rFonts w:eastAsia="Calibri" w:cs="Calibri" w:ascii="Calibri" w:hAnsi="Calibri"/>
          <w:sz w:val="22"/>
          <w:szCs w:val="22"/>
          <w:lang w:eastAsia="pl-PL"/>
        </w:rPr>
        <w:t xml:space="preserve">pełnienie nadzoru autorskiego przez cały okres realizacji inwestycji, prowadzonej w oparciu </w:t>
        <w:br/>
        <w:t>o dokumentację projektową objętą niniejszą umową.</w:t>
      </w:r>
    </w:p>
    <w:p>
      <w:pPr>
        <w:pStyle w:val="BodyText"/>
        <w:widowControl w:val="false"/>
        <w:numPr>
          <w:ilvl w:val="0"/>
          <w:numId w:val="45"/>
        </w:numPr>
        <w:spacing w:lineRule="auto" w:line="276" w:before="116" w:after="0"/>
        <w:jc w:val="both"/>
        <w:rPr>
          <w:rFonts w:ascii="Calibri" w:hAnsi="Calibri" w:cs="Calibri"/>
          <w:sz w:val="22"/>
          <w:szCs w:val="22"/>
        </w:rPr>
      </w:pPr>
      <w:r>
        <w:rPr>
          <w:rFonts w:eastAsia="Calibri" w:cs="Calibri" w:ascii="Calibri" w:hAnsi="Calibri"/>
          <w:sz w:val="22"/>
          <w:szCs w:val="22"/>
          <w:lang w:eastAsia="pl-PL"/>
        </w:rPr>
        <w:t xml:space="preserve">Wykonanie robót  budowlanych  na podstawie opracowanej  dokumentacji projektowej </w:t>
        <w:br/>
        <w:t>i uzyskanej decyzji  umożliwiającej wykonanie robót budowlanych.</w:t>
      </w:r>
    </w:p>
    <w:p>
      <w:pPr>
        <w:pStyle w:val="BodyText"/>
        <w:widowControl w:val="false"/>
        <w:numPr>
          <w:ilvl w:val="0"/>
          <w:numId w:val="45"/>
        </w:numPr>
        <w:spacing w:lineRule="auto" w:line="276" w:before="116" w:after="0"/>
        <w:jc w:val="both"/>
        <w:rPr>
          <w:rFonts w:ascii="Calibri" w:hAnsi="Calibri" w:cs="Calibri"/>
          <w:sz w:val="22"/>
          <w:szCs w:val="22"/>
        </w:rPr>
      </w:pPr>
      <w:r>
        <w:rPr>
          <w:rFonts w:eastAsia="Calibri" w:cs="Calibri" w:ascii="Calibri" w:hAnsi="Calibri"/>
          <w:sz w:val="22"/>
          <w:szCs w:val="22"/>
          <w:lang w:eastAsia="pl-PL"/>
        </w:rPr>
        <w:t>Dokumentacja projektowa, o której mowa w ust. 2 niniejszego paragrafu, obejmuje następujące opracowania i dokumenty:</w:t>
      </w:r>
    </w:p>
    <w:p>
      <w:pPr>
        <w:pStyle w:val="BodyText"/>
        <w:widowControl w:val="false"/>
        <w:numPr>
          <w:ilvl w:val="0"/>
          <w:numId w:val="45"/>
        </w:numPr>
        <w:spacing w:lineRule="auto" w:line="276" w:before="116" w:after="0"/>
        <w:jc w:val="both"/>
        <w:rPr>
          <w:rFonts w:ascii="Calibri" w:hAnsi="Calibri" w:cs="Calibri"/>
          <w:sz w:val="22"/>
          <w:szCs w:val="22"/>
        </w:rPr>
      </w:pPr>
      <w:r>
        <w:rPr>
          <w:rFonts w:eastAsia="Calibri" w:cs="Calibri" w:ascii="Calibri" w:hAnsi="Calibri"/>
          <w:sz w:val="22"/>
          <w:szCs w:val="22"/>
          <w:lang w:eastAsia="pl-PL"/>
        </w:rPr>
        <w:t xml:space="preserve">opinię geotechniczną wraz z dokumentacją sporządzoną w oparciu o obowiązujące przepisy dotyczące badań właściwości gruntów z oświadczeniem uprawnionych rzeczoznawców </w:t>
        <w:br/>
        <w:t>o przydatności opinii dla celów zamierzonej inwestycji;</w:t>
      </w:r>
    </w:p>
    <w:p>
      <w:pPr>
        <w:pStyle w:val="BodyText"/>
        <w:widowControl w:val="false"/>
        <w:numPr>
          <w:ilvl w:val="0"/>
          <w:numId w:val="45"/>
        </w:numPr>
        <w:spacing w:lineRule="auto" w:line="276" w:before="116" w:after="0"/>
        <w:jc w:val="both"/>
        <w:rPr>
          <w:rFonts w:ascii="Calibri" w:hAnsi="Calibri" w:cs="Calibri"/>
          <w:sz w:val="22"/>
          <w:szCs w:val="22"/>
        </w:rPr>
      </w:pPr>
      <w:r>
        <w:rPr>
          <w:rFonts w:eastAsia="Calibri" w:cs="Calibri" w:ascii="Calibri" w:hAnsi="Calibri"/>
          <w:sz w:val="22"/>
          <w:szCs w:val="22"/>
          <w:lang w:eastAsia="pl-PL"/>
        </w:rPr>
        <w:t>wielobranżowy projekt budowlany, opracowany zgodnie z ustawą z dnia 7 lipca 1994 r. Prawo budowlane (t.j. Dz. U. z 2025 r.poz. 418) i rozporządzeniem Ministra Infrastruktury z dnia 20 grudnia 2021 r. w sprawie szczegółowego zakresu i formy dokumentacji projektowej, specyfikacji technicznych wykonania i odbioru robót budowlanych oraz programu funkcjonalno-użytkowego (Dz. U. 2021 poz. 2454);</w:t>
      </w:r>
    </w:p>
    <w:p>
      <w:pPr>
        <w:pStyle w:val="BodyText"/>
        <w:widowControl w:val="false"/>
        <w:numPr>
          <w:ilvl w:val="0"/>
          <w:numId w:val="45"/>
        </w:numPr>
        <w:spacing w:lineRule="auto" w:line="276" w:before="116" w:after="0"/>
        <w:jc w:val="both"/>
        <w:rPr>
          <w:rFonts w:ascii="Calibri" w:hAnsi="Calibri" w:cs="Calibri"/>
          <w:sz w:val="22"/>
          <w:szCs w:val="22"/>
        </w:rPr>
      </w:pPr>
      <w:r>
        <w:rPr>
          <w:rFonts w:eastAsia="Calibri" w:cs="Calibri" w:ascii="Calibri" w:hAnsi="Calibri"/>
          <w:sz w:val="22"/>
          <w:szCs w:val="22"/>
          <w:lang w:eastAsia="pl-PL"/>
        </w:rPr>
        <w:t>informacje bezpieczeństwa i ochrony zdrowia (BIOZ) w zakresie wszystkich branż, wykonane zgodnie z zapisami rozporządzenia Ministra Infrastruktury z dnia 23.06.2003r. w sprawie informacji dotyczącej bezpieczeństwa i ochrony zdrowia oraz planu bezpieczeństwa ochrony zdrowia (Dz.U. z 2003r. nr 120 poz.1126 z późn. zm.);</w:t>
      </w:r>
    </w:p>
    <w:p>
      <w:pPr>
        <w:pStyle w:val="BodyText"/>
        <w:widowControl w:val="false"/>
        <w:numPr>
          <w:ilvl w:val="0"/>
          <w:numId w:val="45"/>
        </w:numPr>
        <w:spacing w:lineRule="auto" w:line="276" w:before="116" w:after="0"/>
        <w:jc w:val="both"/>
        <w:rPr>
          <w:rFonts w:ascii="Calibri" w:hAnsi="Calibri" w:cs="Calibri"/>
          <w:sz w:val="22"/>
          <w:szCs w:val="22"/>
        </w:rPr>
      </w:pPr>
      <w:r>
        <w:rPr>
          <w:rFonts w:eastAsia="Calibri" w:cs="Calibri" w:ascii="Calibri" w:hAnsi="Calibri"/>
          <w:sz w:val="22"/>
          <w:szCs w:val="22"/>
          <w:lang w:eastAsia="pl-PL"/>
        </w:rPr>
        <w:t xml:space="preserve">projekty wykonawcze we wszystkich wymaganych branżach budowlanych, w zakresie </w:t>
        <w:br/>
        <w:t>i w stopniu dokładności niezbędnym do sporządzenia przedmiarów robót, kosztorysów inwestorskich, przygotowania przez wykonawcę robót budowlanych i realizacji tych robót, oraz sprawdzenia, zatwierdzenia lub zaopiniowania robót budowalnych przez inspektorów nadzoru inwestorskiego, wykonane zgodnie z zapisami rozporządzenia wymienionego pkt 4 nin. ustępu;</w:t>
      </w:r>
    </w:p>
    <w:p>
      <w:pPr>
        <w:pStyle w:val="BodyText"/>
        <w:widowControl w:val="false"/>
        <w:numPr>
          <w:ilvl w:val="0"/>
          <w:numId w:val="45"/>
        </w:numPr>
        <w:spacing w:lineRule="auto" w:line="276" w:before="116" w:after="0"/>
        <w:jc w:val="both"/>
        <w:rPr>
          <w:rFonts w:ascii="Calibri" w:hAnsi="Calibri" w:cs="Calibri"/>
          <w:sz w:val="22"/>
          <w:szCs w:val="22"/>
        </w:rPr>
      </w:pPr>
      <w:r>
        <w:rPr>
          <w:rFonts w:eastAsia="Calibri" w:cs="Calibri" w:ascii="Calibri" w:hAnsi="Calibri"/>
          <w:sz w:val="22"/>
          <w:szCs w:val="22"/>
          <w:lang w:eastAsia="pl-PL"/>
        </w:rPr>
        <w:t>przedmiary robót – wykonane zgodnie z zapisami rozporządzenia wymienionego w pkt 4 nin. ustępu;</w:t>
      </w:r>
    </w:p>
    <w:p>
      <w:pPr>
        <w:pStyle w:val="BodyText"/>
        <w:widowControl w:val="false"/>
        <w:numPr>
          <w:ilvl w:val="0"/>
          <w:numId w:val="45"/>
        </w:numPr>
        <w:spacing w:lineRule="auto" w:line="276" w:before="116" w:after="0"/>
        <w:jc w:val="both"/>
        <w:rPr>
          <w:rFonts w:ascii="Calibri" w:hAnsi="Calibri" w:cs="Calibri"/>
          <w:sz w:val="22"/>
          <w:szCs w:val="22"/>
        </w:rPr>
      </w:pPr>
      <w:r>
        <w:rPr>
          <w:rFonts w:eastAsia="Calibri" w:cs="Calibri" w:ascii="Calibri" w:hAnsi="Calibri"/>
          <w:sz w:val="22"/>
          <w:szCs w:val="22"/>
          <w:lang w:eastAsia="pl-PL"/>
        </w:rPr>
        <w:t>kosztorysy inwestorskie – których wysokość nie przekracza wartości szacowanej ceny ofertowej wskazanej w ofercie Wykonawcy</w:t>
      </w:r>
    </w:p>
    <w:p>
      <w:pPr>
        <w:pStyle w:val="BodyText"/>
        <w:widowControl w:val="false"/>
        <w:numPr>
          <w:ilvl w:val="0"/>
          <w:numId w:val="45"/>
        </w:numPr>
        <w:spacing w:lineRule="auto" w:line="276" w:before="116" w:after="0"/>
        <w:jc w:val="both"/>
        <w:rPr>
          <w:rFonts w:ascii="Calibri" w:hAnsi="Calibri" w:cs="Calibri"/>
          <w:sz w:val="22"/>
          <w:szCs w:val="22"/>
        </w:rPr>
      </w:pPr>
      <w:r>
        <w:rPr>
          <w:rFonts w:eastAsia="Calibri" w:cs="Calibri" w:ascii="Calibri" w:hAnsi="Calibri"/>
          <w:sz w:val="22"/>
          <w:szCs w:val="22"/>
          <w:lang w:eastAsia="pl-PL"/>
        </w:rPr>
        <w:t xml:space="preserve">specyfikacje techniczne wykonania i odbioru robót – STWiORB </w:t>
      </w:r>
    </w:p>
    <w:p>
      <w:pPr>
        <w:pStyle w:val="BodyText"/>
        <w:widowControl w:val="false"/>
        <w:numPr>
          <w:ilvl w:val="0"/>
          <w:numId w:val="46"/>
        </w:numPr>
        <w:spacing w:lineRule="auto" w:line="276" w:before="116" w:after="0"/>
        <w:ind w:hanging="360" w:start="284"/>
        <w:jc w:val="both"/>
        <w:rPr>
          <w:rFonts w:ascii="Calibri" w:hAnsi="Calibri" w:cs="Calibri"/>
          <w:sz w:val="22"/>
          <w:szCs w:val="22"/>
        </w:rPr>
      </w:pPr>
      <w:r>
        <w:rPr>
          <w:rFonts w:eastAsia="Calibri" w:cs="Calibri" w:ascii="Calibri" w:hAnsi="Calibri"/>
          <w:sz w:val="22"/>
        </w:rPr>
        <w:t>Szczegółowy zakres rzeczowy przedmiotu zamówienia opisuje dokumentacja Program Funkcjonalno- Użytkowy, oferta Wykonawcy, a w dalszej części sporządzona dokumentacja projektowa przez Wykonawcę i zatwierdzona przez Zamawiającego.</w:t>
      </w:r>
    </w:p>
    <w:p>
      <w:pPr>
        <w:pStyle w:val="ListParagraph"/>
        <w:numPr>
          <w:ilvl w:val="0"/>
          <w:numId w:val="46"/>
        </w:numPr>
        <w:spacing w:lineRule="auto" w:line="276"/>
        <w:ind w:hanging="284" w:start="284"/>
        <w:jc w:val="both"/>
        <w:rPr>
          <w:rFonts w:ascii="Calibri" w:hAnsi="Calibri" w:cs="Calibri"/>
          <w:sz w:val="22"/>
        </w:rPr>
      </w:pPr>
      <w:r>
        <w:rPr>
          <w:rFonts w:eastAsia="Calibri" w:cs="Calibri" w:ascii="Calibri" w:hAnsi="Calibri"/>
          <w:sz w:val="22"/>
        </w:rPr>
        <w:t>Przedmiot umowy musi być wykonany zgodnie z obowiązującymi przepisami i normami, wiedzą techniczną oraz na ustalonych niniejszą umową warunkach.</w:t>
      </w:r>
    </w:p>
    <w:p>
      <w:pPr>
        <w:pStyle w:val="ListParagraph"/>
        <w:numPr>
          <w:ilvl w:val="0"/>
          <w:numId w:val="46"/>
        </w:numPr>
        <w:spacing w:lineRule="auto" w:line="276"/>
        <w:ind w:hanging="360" w:start="284"/>
        <w:jc w:val="both"/>
        <w:rPr>
          <w:rFonts w:ascii="Calibri" w:hAnsi="Calibri" w:cs="Calibri"/>
          <w:sz w:val="22"/>
        </w:rPr>
      </w:pPr>
      <w:r>
        <w:rPr>
          <w:rFonts w:eastAsia="Calibri" w:cs="Calibri" w:ascii="Calibri" w:hAnsi="Calibri"/>
          <w:sz w:val="22"/>
        </w:rPr>
        <w:t>W ramach ustalonego wynagrodzenia Wykonawca zobowiązuje się do realizacji robót zamiennych w stosunku do robot budowlanych opisanych w projekcie budowlanym, jeżeli ich wykonanie jest konieczne dla realizacji Umowy zgodnie z zasadami wiedzy technicznej.</w:t>
      </w:r>
    </w:p>
    <w:p>
      <w:pPr>
        <w:pStyle w:val="ListParagraph"/>
        <w:numPr>
          <w:ilvl w:val="0"/>
          <w:numId w:val="46"/>
        </w:numPr>
        <w:spacing w:lineRule="auto" w:line="276"/>
        <w:ind w:hanging="360" w:start="284"/>
        <w:jc w:val="both"/>
        <w:rPr>
          <w:rFonts w:ascii="Calibri" w:hAnsi="Calibri" w:cs="Calibri"/>
          <w:sz w:val="22"/>
        </w:rPr>
      </w:pPr>
      <w:r>
        <w:rPr>
          <w:rFonts w:eastAsia="Calibri" w:cs="Calibri" w:ascii="Calibri" w:hAnsi="Calibri"/>
          <w:sz w:val="22"/>
        </w:rPr>
        <w:t>Inspektor nadzoru inwestorskiego, ma prawo wydawania Wykonawcy na piśmie uzgodnionych z Zamawiającym poleceń a Wykonawca jest zobowiązany do wykonania tych poleceń, w szczególności poprzez zmniejszenie lub zwiększenie ilości robót budowlanych na ilości dostosowane do potrzeb realizacji przedmiotu Umowy lub pominięcie poszczególnych robót budowlanych, opisanych w dokumentacji projektowej, jeżeli zmiana ta jest konieczna dla realizacji Umowy zgodnie z zasadami wiedzy technicznej i zmiana nie stanowi istotnego odstępstwa od projektu budowlanego.</w:t>
      </w:r>
    </w:p>
    <w:p>
      <w:pPr>
        <w:pStyle w:val="ListParagraph"/>
        <w:numPr>
          <w:ilvl w:val="0"/>
          <w:numId w:val="46"/>
        </w:numPr>
        <w:spacing w:lineRule="auto" w:line="276"/>
        <w:ind w:hanging="360" w:start="284"/>
        <w:jc w:val="both"/>
        <w:rPr>
          <w:rFonts w:ascii="Calibri" w:hAnsi="Calibri" w:cs="Calibri"/>
          <w:sz w:val="22"/>
        </w:rPr>
      </w:pPr>
      <w:r>
        <w:rPr>
          <w:rFonts w:eastAsia="Calibri" w:cs="Calibri" w:ascii="Calibri" w:hAnsi="Calibri"/>
          <w:sz w:val="22"/>
        </w:rPr>
        <w:t>W przypadku, gdy rozliczenie zmienionego zakresu robót, o którym mowa w pkt. 4 niniejszego paragrafu, nie będzie możliwe poprzez obmiar wykonanych robót budowlanych, w szczególności:</w:t>
      </w:r>
    </w:p>
    <w:p>
      <w:pPr>
        <w:pStyle w:val="Normal"/>
        <w:spacing w:lineRule="auto" w:line="276" w:before="0" w:after="0"/>
        <w:jc w:val="both"/>
        <w:rPr>
          <w:rFonts w:ascii="Calibri" w:hAnsi="Calibri" w:cs="Calibri"/>
        </w:rPr>
      </w:pPr>
      <w:r>
        <w:rPr>
          <w:rFonts w:eastAsia="Calibri" w:cs="Calibri" w:ascii="Calibri" w:hAnsi="Calibri"/>
        </w:rPr>
        <w:t>a) gdy roboty ujęte w projekcie budowlanym lub wykonawczym nie zostały wyszczególnione w przedmiarze robót lub,</w:t>
      </w:r>
    </w:p>
    <w:p>
      <w:pPr>
        <w:pStyle w:val="Normal"/>
        <w:spacing w:lineRule="auto" w:line="276" w:before="0" w:after="0"/>
        <w:jc w:val="both"/>
        <w:rPr>
          <w:rFonts w:ascii="Calibri" w:hAnsi="Calibri" w:cs="Calibri"/>
        </w:rPr>
      </w:pPr>
      <w:r>
        <w:rPr>
          <w:rFonts w:eastAsia="Calibri" w:cs="Calibri" w:ascii="Calibri" w:hAnsi="Calibri"/>
        </w:rPr>
        <w:t xml:space="preserve">b) gdy roboty nieujęte w projekcie wykonawczym nie zostały ujęte w przedmiarze robót, a ich wykonanie jest konieczne dla realizacji Umowy zgodnie z zasadami wiedzy technicznej i ma na celu usunięcie rozbieżności pomiędzy projektem budowlanym a projektem wykonawczym,  </w:t>
      </w:r>
    </w:p>
    <w:p>
      <w:pPr>
        <w:pStyle w:val="Normal"/>
        <w:spacing w:lineRule="auto" w:line="276"/>
        <w:jc w:val="both"/>
        <w:rPr>
          <w:rFonts w:ascii="Calibri" w:hAnsi="Calibri" w:cs="Calibri"/>
        </w:rPr>
      </w:pPr>
      <w:r>
        <w:rPr>
          <w:rFonts w:eastAsia="Calibri" w:cs="Calibri" w:ascii="Calibri" w:hAnsi="Calibri"/>
        </w:rPr>
        <w:t>c) lub w przypadku konieczności zaniechania robót budowlanych objętych kosztorysem ofertowym,</w:t>
      </w:r>
    </w:p>
    <w:p>
      <w:pPr>
        <w:pStyle w:val="Normal"/>
        <w:spacing w:lineRule="auto" w:line="276"/>
        <w:jc w:val="both"/>
        <w:rPr>
          <w:rFonts w:ascii="Calibri" w:hAnsi="Calibri" w:cs="Calibri"/>
        </w:rPr>
      </w:pPr>
      <w:r>
        <w:rPr>
          <w:rFonts w:eastAsia="Calibri" w:cs="Calibri" w:ascii="Calibri" w:hAnsi="Calibri"/>
        </w:rPr>
        <w:t>Wykonanie przez Wykonawcę zmienionego zakresu robót nastąpi na podstawie protokołu konieczności.</w:t>
      </w:r>
    </w:p>
    <w:p>
      <w:pPr>
        <w:pStyle w:val="ListParagraph"/>
        <w:numPr>
          <w:ilvl w:val="0"/>
          <w:numId w:val="46"/>
        </w:numPr>
        <w:spacing w:lineRule="auto" w:line="276"/>
        <w:ind w:hanging="360" w:start="284"/>
        <w:jc w:val="both"/>
        <w:rPr>
          <w:rFonts w:ascii="Calibri" w:hAnsi="Calibri" w:cs="Calibri"/>
          <w:sz w:val="22"/>
        </w:rPr>
      </w:pPr>
      <w:r>
        <w:rPr>
          <w:rFonts w:eastAsia="Calibri" w:cs="Calibri" w:ascii="Calibri" w:hAnsi="Calibri"/>
          <w:sz w:val="22"/>
        </w:rPr>
        <w:t>Protokół konieczności zawierający rzeczowy zakres robót i wycenę jest sporządzany przez kierownika budowy, podpisywany przez: kierownika budowy, inspektora nadzoru inwestorskiego i Wykonawcę oraz akceptowany przez Zamawiającego. Ceny jednostkowe robót określonych w protokołach konieczności powinny być nie większe niż średnie ceny SEKOCENBUD.</w:t>
      </w:r>
    </w:p>
    <w:p>
      <w:pPr>
        <w:pStyle w:val="Normal"/>
        <w:spacing w:lineRule="auto" w:line="276" w:before="0" w:after="0"/>
        <w:jc w:val="center"/>
        <w:rPr>
          <w:rFonts w:ascii="Calibri" w:hAnsi="Calibri" w:cs="Calibri"/>
          <w:b/>
        </w:rPr>
      </w:pPr>
      <w:r>
        <w:rPr>
          <w:rFonts w:eastAsia="Calibri" w:cs="Calibri" w:ascii="Calibri" w:hAnsi="Calibri"/>
          <w:b/>
          <w:lang w:eastAsia="pl-PL"/>
        </w:rPr>
        <w:t>§ 2</w:t>
      </w:r>
    </w:p>
    <w:p>
      <w:pPr>
        <w:pStyle w:val="Normal"/>
        <w:spacing w:lineRule="auto" w:line="276" w:before="0" w:after="0"/>
        <w:jc w:val="center"/>
        <w:rPr>
          <w:rFonts w:ascii="Calibri" w:hAnsi="Calibri" w:cs="Calibri"/>
          <w:b/>
        </w:rPr>
      </w:pPr>
      <w:r>
        <w:rPr>
          <w:rFonts w:eastAsia="Calibri" w:cs="Calibri" w:ascii="Calibri" w:hAnsi="Calibri"/>
          <w:b/>
          <w:lang w:eastAsia="pl-PL"/>
        </w:rPr>
        <w:t>Wynagrodzenie Wykonawcy</w:t>
      </w:r>
    </w:p>
    <w:p>
      <w:pPr>
        <w:pStyle w:val="Normal"/>
        <w:numPr>
          <w:ilvl w:val="0"/>
          <w:numId w:val="9"/>
        </w:numPr>
        <w:spacing w:lineRule="auto" w:line="276" w:before="0" w:after="0"/>
        <w:jc w:val="both"/>
        <w:rPr>
          <w:rFonts w:ascii="Calibri" w:hAnsi="Calibri" w:cs="Calibri"/>
        </w:rPr>
      </w:pPr>
      <w:r>
        <w:rPr>
          <w:rFonts w:eastAsia="Calibri" w:cs="Calibri" w:ascii="Calibri" w:hAnsi="Calibri"/>
          <w:lang w:eastAsia="pl-PL"/>
        </w:rPr>
        <w:t>Wynagrodzenie za przedmiot umowy ustala się na kwotę:</w:t>
      </w:r>
    </w:p>
    <w:p>
      <w:pPr>
        <w:pStyle w:val="Normal"/>
        <w:spacing w:lineRule="auto" w:line="276" w:before="0" w:after="0"/>
        <w:ind w:start="360"/>
        <w:jc w:val="both"/>
        <w:rPr>
          <w:rFonts w:ascii="Calibri" w:hAnsi="Calibri" w:cs="Calibri"/>
        </w:rPr>
      </w:pPr>
      <w:r>
        <w:rPr>
          <w:rFonts w:eastAsia="Calibri" w:cs="Calibri" w:ascii="Calibri" w:hAnsi="Calibri"/>
          <w:lang w:eastAsia="pl-PL"/>
        </w:rPr>
        <w:t>Netto:</w:t>
        <w:tab/>
        <w:tab/>
        <w:tab/>
        <w:t xml:space="preserve">                        ……………………… zł</w:t>
      </w:r>
    </w:p>
    <w:p>
      <w:pPr>
        <w:pStyle w:val="Normal"/>
        <w:spacing w:lineRule="auto" w:line="276" w:before="0" w:after="0"/>
        <w:ind w:start="360"/>
        <w:jc w:val="both"/>
        <w:rPr>
          <w:rFonts w:ascii="Calibri" w:hAnsi="Calibri" w:cs="Calibri"/>
        </w:rPr>
      </w:pPr>
      <w:r>
        <w:rPr>
          <w:rFonts w:eastAsia="Calibri" w:cs="Calibri" w:ascii="Calibri" w:hAnsi="Calibri"/>
          <w:lang w:eastAsia="pl-PL"/>
        </w:rPr>
        <w:t>Podatek VAT (stawka 23%):                        ……………………… zł</w:t>
      </w:r>
    </w:p>
    <w:p>
      <w:pPr>
        <w:pStyle w:val="Normal"/>
        <w:spacing w:lineRule="auto" w:line="276" w:before="0" w:after="0"/>
        <w:ind w:start="360"/>
        <w:jc w:val="both"/>
        <w:rPr>
          <w:rFonts w:ascii="Calibri" w:hAnsi="Calibri" w:cs="Calibri"/>
        </w:rPr>
      </w:pPr>
      <w:r>
        <w:rPr>
          <w:rFonts w:eastAsia="Calibri" w:cs="Calibri" w:ascii="Calibri" w:hAnsi="Calibri"/>
          <w:b/>
          <w:lang w:eastAsia="pl-PL"/>
        </w:rPr>
        <w:t xml:space="preserve">Brutto:                                                            </w:t>
      </w:r>
      <w:r>
        <w:rPr>
          <w:rFonts w:eastAsia="Calibri" w:cs="Calibri" w:ascii="Calibri" w:hAnsi="Calibri"/>
          <w:lang w:eastAsia="pl-PL"/>
        </w:rPr>
        <w:t xml:space="preserve">……………………… </w:t>
      </w:r>
      <w:r>
        <w:rPr>
          <w:rFonts w:eastAsia="Calibri" w:cs="Calibri" w:ascii="Calibri" w:hAnsi="Calibri"/>
          <w:bCs/>
          <w:lang w:eastAsia="pl-PL"/>
        </w:rPr>
        <w:t>zł</w:t>
      </w:r>
      <w:r>
        <w:rPr>
          <w:rFonts w:eastAsia="Calibri" w:cs="Calibri" w:ascii="Calibri" w:hAnsi="Calibri"/>
          <w:b/>
          <w:bCs/>
          <w:lang w:eastAsia="pl-PL"/>
        </w:rPr>
        <w:t xml:space="preserve"> </w:t>
      </w:r>
      <w:r>
        <w:rPr>
          <w:rFonts w:eastAsia="Calibri" w:cs="Calibri" w:ascii="Calibri" w:hAnsi="Calibri"/>
          <w:b/>
          <w:lang w:eastAsia="pl-PL"/>
        </w:rPr>
        <w:t>(</w:t>
      </w:r>
      <w:r>
        <w:rPr>
          <w:rFonts w:eastAsia="Calibri" w:cs="Calibri" w:ascii="Calibri" w:hAnsi="Calibri"/>
          <w:lang w:eastAsia="pl-PL"/>
        </w:rPr>
        <w:t>słownie brutto: ………………………)</w:t>
      </w:r>
    </w:p>
    <w:p>
      <w:pPr>
        <w:pStyle w:val="Normal"/>
        <w:numPr>
          <w:ilvl w:val="0"/>
          <w:numId w:val="9"/>
        </w:numPr>
        <w:spacing w:lineRule="auto" w:line="276" w:before="0" w:after="0"/>
        <w:jc w:val="both"/>
        <w:rPr>
          <w:rFonts w:ascii="Calibri" w:hAnsi="Calibri" w:cs="Calibri"/>
        </w:rPr>
      </w:pPr>
      <w:r>
        <w:rPr>
          <w:rFonts w:eastAsia="Calibri" w:cs="Calibri" w:ascii="Calibri" w:hAnsi="Calibri"/>
          <w:lang w:eastAsia="pl-PL"/>
        </w:rPr>
        <w:t>Całkowite wynagrodzenie brutto, o którym mowa w ust. 1 jest wynagrodzeniem ryczałtowym i obejmuje wszelkie koszty związane z realizacją przedmiotu zamówienia, w tym ryzyko Wykonawcy z tytułu oszacowania wszelkich kosztów związanych z realizacją przedmiotu umowy. Niedoszacowanie, pominięcie oraz brak rozpoznania zakresu przedmiotu umowy nie może być podstawą do żądania zmiany wynagrodzenia ryczałtowego określonego w ust. 1 niniejszego paragrafu. Wykonawca nie może także żądać podwyższenia wynagrodzenia brutto w przypadkach nieprzewidzianych w umowie nawet, jeżeli w chwili zawarcia umowy nie mógł przewidzieć wszystkich kosztów niezbędnych do prawidłowej realizacji przedmiotu umowy.</w:t>
      </w:r>
    </w:p>
    <w:p>
      <w:pPr>
        <w:pStyle w:val="Normal"/>
        <w:numPr>
          <w:ilvl w:val="0"/>
          <w:numId w:val="9"/>
        </w:numPr>
        <w:spacing w:lineRule="auto" w:line="276" w:before="0" w:after="0"/>
        <w:jc w:val="both"/>
        <w:rPr>
          <w:rFonts w:ascii="Calibri" w:hAnsi="Calibri" w:cs="Calibri"/>
        </w:rPr>
      </w:pPr>
      <w:r>
        <w:rPr>
          <w:rFonts w:eastAsia="Calibri" w:cs="Calibri" w:ascii="Calibri" w:hAnsi="Calibri"/>
          <w:lang w:eastAsia="pl-PL"/>
        </w:rPr>
        <w:t>Całkowite wynagrodzenie brutto, o którym mowa w ust. 1 obejmuje również wszelkie obciążenia o charakterze publicznoprawnym związane z realizacją przedmiotu zamówienia, a w szczególności podatek od towarów i usług w wysokości wynikającej z właściwych przepisów.</w:t>
      </w:r>
    </w:p>
    <w:p>
      <w:pPr>
        <w:pStyle w:val="Normal"/>
        <w:numPr>
          <w:ilvl w:val="0"/>
          <w:numId w:val="9"/>
        </w:numPr>
        <w:spacing w:lineRule="auto" w:line="276" w:before="0" w:after="0"/>
        <w:jc w:val="both"/>
        <w:rPr>
          <w:rFonts w:ascii="Calibri" w:hAnsi="Calibri" w:cs="Calibri"/>
        </w:rPr>
      </w:pPr>
      <w:r>
        <w:rPr>
          <w:rFonts w:eastAsia="Calibri" w:cs="Calibri" w:ascii="Calibri" w:hAnsi="Calibri"/>
          <w:lang w:eastAsia="pl-PL"/>
        </w:rPr>
        <w:t xml:space="preserve">Ustawowa zmiana stawki podatku od towarów i usług w okresie realizacji niniejszej umowy stanowi podstawę do zmiany wynagrodzenia brutto o kwotę wynikającą ze zmiany stawki podatku VAT, </w:t>
        <w:br/>
        <w:t xml:space="preserve">jeśli zmiana ta będzie miała wpływ na koszty wykonania przedmiotu umowy przez Wykonawcę. </w:t>
        <w:br/>
        <w:t>W takiej sytuacji odpowiedniej zmianie ulega kwota wynagrodzenia brutto oraz kwota podatku VAT, przy zachowaniu stałej kwoty wynagrodzenia netto.</w:t>
      </w:r>
    </w:p>
    <w:p>
      <w:pPr>
        <w:pStyle w:val="Normal"/>
        <w:numPr>
          <w:ilvl w:val="0"/>
          <w:numId w:val="9"/>
        </w:numPr>
        <w:spacing w:lineRule="auto" w:line="276" w:before="0" w:after="0"/>
        <w:jc w:val="both"/>
        <w:rPr>
          <w:rFonts w:ascii="Calibri" w:hAnsi="Calibri" w:cs="Calibri"/>
        </w:rPr>
      </w:pPr>
      <w:r>
        <w:rPr>
          <w:rFonts w:eastAsia="Calibri" w:cs="Calibri" w:ascii="Calibri" w:hAnsi="Calibri"/>
          <w:lang w:eastAsia="pl-PL"/>
        </w:rPr>
        <w:t>W sytuacji wystąpienia okoliczności wskazanych w ust. 4 niniejszego paragrafu Wykonawca jest uprawniony złożyć do Zamawiającego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stawki podatku od towarów i usług.</w:t>
      </w:r>
    </w:p>
    <w:p>
      <w:pPr>
        <w:pStyle w:val="Normal"/>
        <w:spacing w:lineRule="auto" w:line="276" w:before="0" w:after="0"/>
        <w:jc w:val="both"/>
        <w:rPr>
          <w:rFonts w:ascii="Calibri" w:hAnsi="Calibri" w:cs="Calibri"/>
        </w:rPr>
      </w:pPr>
      <w:r>
        <w:rPr>
          <w:rFonts w:eastAsia="Calibri" w:cs="Calibri" w:ascii="Calibri" w:hAnsi="Calibri"/>
          <w:lang w:eastAsia="pl-PL"/>
        </w:rPr>
        <w:br/>
        <w:br/>
        <w:br/>
        <w:br/>
      </w:r>
    </w:p>
    <w:p>
      <w:pPr>
        <w:pStyle w:val="Normal"/>
        <w:spacing w:lineRule="auto" w:line="276" w:before="0" w:after="0"/>
        <w:jc w:val="both"/>
        <w:rPr>
          <w:rFonts w:ascii="Calibri" w:hAnsi="Calibri" w:cs="Calibri"/>
        </w:rPr>
      </w:pPr>
      <w:r>
        <w:rPr>
          <w:rFonts w:cs="Calibri" w:ascii="Calibri" w:hAnsi="Calibri"/>
        </w:rPr>
      </w:r>
    </w:p>
    <w:p>
      <w:pPr>
        <w:pStyle w:val="Normal"/>
        <w:spacing w:lineRule="auto" w:line="276" w:before="0" w:after="0"/>
        <w:jc w:val="center"/>
        <w:rPr>
          <w:rFonts w:ascii="Calibri" w:hAnsi="Calibri" w:cs="Calibri"/>
          <w:b/>
          <w:bCs/>
        </w:rPr>
      </w:pPr>
      <w:r>
        <w:rPr>
          <w:rFonts w:eastAsia="Calibri" w:cs="Calibri" w:ascii="Calibri" w:hAnsi="Calibri"/>
          <w:b/>
          <w:bCs/>
          <w:lang w:eastAsia="pl-PL"/>
        </w:rPr>
        <w:t>§ 3</w:t>
      </w:r>
    </w:p>
    <w:p>
      <w:pPr>
        <w:pStyle w:val="Normal"/>
        <w:spacing w:lineRule="auto" w:line="276" w:before="0" w:after="0"/>
        <w:jc w:val="center"/>
        <w:rPr>
          <w:rFonts w:ascii="Calibri" w:hAnsi="Calibri" w:cs="Calibri"/>
          <w:b/>
          <w:bCs/>
        </w:rPr>
      </w:pPr>
      <w:r>
        <w:rPr>
          <w:rFonts w:eastAsia="Calibri" w:cs="Calibri" w:ascii="Calibri" w:hAnsi="Calibri"/>
          <w:b/>
          <w:bCs/>
          <w:lang w:eastAsia="pl-PL"/>
        </w:rPr>
        <w:t>Podwykonawstwo</w:t>
      </w:r>
    </w:p>
    <w:p>
      <w:pPr>
        <w:pStyle w:val="ListParagraph"/>
        <w:numPr>
          <w:ilvl w:val="0"/>
          <w:numId w:val="21"/>
        </w:numPr>
        <w:spacing w:lineRule="auto" w:line="276"/>
        <w:ind w:hanging="360" w:start="426"/>
        <w:jc w:val="both"/>
        <w:rPr>
          <w:rFonts w:ascii="Calibri" w:hAnsi="Calibri" w:cs="Calibri"/>
          <w:sz w:val="22"/>
          <w:szCs w:val="22"/>
        </w:rPr>
      </w:pPr>
      <w:r>
        <w:rPr>
          <w:rFonts w:eastAsia="Calibri" w:cs="Calibri" w:ascii="Calibri" w:hAnsi="Calibri"/>
          <w:sz w:val="22"/>
          <w:szCs w:val="22"/>
        </w:rPr>
        <w:t>Wykonawca może powierzyć wykonanie części zamówienia podwykonawcom.</w:t>
      </w:r>
    </w:p>
    <w:p>
      <w:pPr>
        <w:pStyle w:val="ListParagraph"/>
        <w:numPr>
          <w:ilvl w:val="0"/>
          <w:numId w:val="21"/>
        </w:numPr>
        <w:spacing w:lineRule="auto" w:line="276"/>
        <w:ind w:hanging="360" w:start="426"/>
        <w:jc w:val="both"/>
        <w:rPr>
          <w:rFonts w:ascii="Calibri" w:hAnsi="Calibri" w:cs="Calibri"/>
          <w:sz w:val="22"/>
          <w:szCs w:val="22"/>
        </w:rPr>
      </w:pPr>
      <w:r>
        <w:rPr>
          <w:rFonts w:eastAsia="Calibri" w:cs="Calibri" w:ascii="Calibri" w:hAnsi="Calibri"/>
          <w:sz w:val="22"/>
          <w:szCs w:val="22"/>
        </w:rPr>
        <w:t xml:space="preserve">Wykonawca w ramach realizacji przedmiotowej umowy zobowiązuje się do powierzenia wykonania wskazanych w ofercie części zamówienia wykazanym w ofercie podmiotom (firmom podwykonawczym) na zasoby, których Wykonawca powoływał się na zasadach określonych </w:t>
        <w:br/>
        <w:t>w art. 118 ustawy Prawo zamówień publicznych (Dz.U. z 2024, poz. 1320 ze zm.) w celu wykazania spełnienia warunków udziału w postępowaniu, o którym mowa w art.112 ust. 2 pkt 3 i 4 ustawy pzp.</w:t>
      </w:r>
    </w:p>
    <w:p>
      <w:pPr>
        <w:pStyle w:val="ListParagraph"/>
        <w:numPr>
          <w:ilvl w:val="0"/>
          <w:numId w:val="21"/>
        </w:numPr>
        <w:spacing w:lineRule="auto" w:line="276"/>
        <w:ind w:hanging="360" w:start="426"/>
        <w:jc w:val="both"/>
        <w:rPr>
          <w:rFonts w:ascii="Calibri" w:hAnsi="Calibri" w:cs="Calibri"/>
          <w:sz w:val="22"/>
          <w:szCs w:val="22"/>
        </w:rPr>
      </w:pPr>
      <w:r>
        <w:rPr>
          <w:rFonts w:eastAsia="Calibri" w:cs="Calibri" w:ascii="Calibri" w:hAnsi="Calibri"/>
          <w:sz w:val="22"/>
          <w:szCs w:val="22"/>
        </w:rPr>
        <w:t>Jeżeli powierzenie wykazanym w ofercie podmiotom (podwykonawcom) wykonania części zamówienia na roboty budowlane lub usługi nastąpi w trakcie realizacji przedmiotowego zadania, Wykonawca na żądanie Zamawiającego przedstawi dokumenty o których mowa w art. 118 ust. 3 i 4 ustawy pzp.</w:t>
      </w:r>
    </w:p>
    <w:p>
      <w:pPr>
        <w:pStyle w:val="ListParagraph"/>
        <w:numPr>
          <w:ilvl w:val="0"/>
          <w:numId w:val="21"/>
        </w:numPr>
        <w:spacing w:lineRule="auto" w:line="276"/>
        <w:ind w:hanging="360" w:start="426"/>
        <w:jc w:val="both"/>
        <w:rPr>
          <w:rFonts w:ascii="Calibri" w:hAnsi="Calibri" w:cs="Calibri"/>
          <w:sz w:val="22"/>
          <w:szCs w:val="22"/>
        </w:rPr>
      </w:pPr>
      <w:r>
        <w:rPr>
          <w:rFonts w:eastAsia="Calibri" w:cs="Calibri" w:ascii="Calibri" w:hAnsi="Calibri"/>
          <w:sz w:val="22"/>
          <w:szCs w:val="22"/>
        </w:rPr>
        <w:t>Jeśli zmiana lub rezygnacja z podwykonawcy dotyczy podmiotu na którego zasoby wykonawca powoływał się na zasadach określonych w art. 118 ust. 1, w celu wykazania spełnienia warunków udziału w postępowaniu, Wykonawca jest obowiązany wskazać Zamawiającemu, że zaproponowany inny podwykonawca lub wykonawca samodzielnie spełnia je w stopniu nie mniejszym niż podwykonawca na którego zasoby wykonawca powoływał się w trakcie postępowania o udzielenie zamówienia. Przepisy art. 122 ustawy pzp stosuje się odpowiednio.</w:t>
      </w:r>
    </w:p>
    <w:p>
      <w:pPr>
        <w:pStyle w:val="ListParagraph"/>
        <w:numPr>
          <w:ilvl w:val="0"/>
          <w:numId w:val="21"/>
        </w:numPr>
        <w:spacing w:lineRule="auto" w:line="276"/>
        <w:ind w:hanging="360" w:start="426"/>
        <w:jc w:val="both"/>
        <w:rPr>
          <w:rFonts w:ascii="Calibri" w:hAnsi="Calibri" w:cs="Calibri"/>
          <w:sz w:val="22"/>
          <w:szCs w:val="22"/>
        </w:rPr>
      </w:pPr>
      <w:r>
        <w:rPr>
          <w:rFonts w:eastAsia="Calibri" w:cs="Calibri" w:ascii="Calibri" w:hAnsi="Calibri"/>
          <w:sz w:val="22"/>
          <w:szCs w:val="22"/>
        </w:rPr>
        <w:t>Powierzenie wykonania części zamówienia podwykonawcom nie zwalnia Wykonawcy z odpowiedzialności za należyte wykonanie tego zamówienia.</w:t>
      </w:r>
    </w:p>
    <w:p>
      <w:pPr>
        <w:pStyle w:val="ListParagraph"/>
        <w:numPr>
          <w:ilvl w:val="0"/>
          <w:numId w:val="21"/>
        </w:numPr>
        <w:spacing w:lineRule="auto" w:line="276"/>
        <w:ind w:hanging="360" w:start="426"/>
        <w:jc w:val="both"/>
        <w:rPr>
          <w:rFonts w:ascii="Calibri" w:hAnsi="Calibri" w:cs="Calibri"/>
          <w:sz w:val="22"/>
          <w:szCs w:val="22"/>
        </w:rPr>
      </w:pPr>
      <w:r>
        <w:rPr>
          <w:rFonts w:eastAsia="Calibri" w:cs="Calibri" w:ascii="Calibri" w:hAnsi="Calibri"/>
          <w:sz w:val="22"/>
          <w:szCs w:val="22"/>
        </w:rPr>
        <w:t>Zapisy ust. 3 stosuje się wobec dalszych podwykonawców.</w:t>
      </w:r>
    </w:p>
    <w:p>
      <w:pPr>
        <w:pStyle w:val="ListParagraph"/>
        <w:numPr>
          <w:ilvl w:val="0"/>
          <w:numId w:val="21"/>
        </w:numPr>
        <w:spacing w:lineRule="auto" w:line="276"/>
        <w:ind w:hanging="360" w:start="426"/>
        <w:jc w:val="both"/>
        <w:rPr>
          <w:rFonts w:ascii="Calibri" w:hAnsi="Calibri" w:cs="Calibri"/>
          <w:sz w:val="22"/>
          <w:szCs w:val="22"/>
        </w:rPr>
      </w:pPr>
      <w:r>
        <w:rPr>
          <w:rFonts w:eastAsia="Calibri" w:cs="Calibri" w:ascii="Calibri" w:hAnsi="Calibri"/>
          <w:sz w:val="22"/>
          <w:szCs w:val="22"/>
        </w:rPr>
        <w:t>Wykonawca, podwykonawca lub dalszy podwykonawca robót budowlanych zamierzający zawrzeć umowę o podwykonawstwo, której przedmiotem są roboty budowlane, jest obowiązany, w trakcie realizacji przedmiotu niniejszej umowy, do przedłożenia Zamawiającemu projektu tej umowy, przy czym podwykonawca lub dalszy podwykonawca jest obowiązany dołączyć zgodę Wykonawcy na zawarcie umowy o podwykonawstwo o treści zgodnej z projektem umowy.</w:t>
      </w:r>
    </w:p>
    <w:p>
      <w:pPr>
        <w:pStyle w:val="ListParagraph"/>
        <w:numPr>
          <w:ilvl w:val="0"/>
          <w:numId w:val="21"/>
        </w:numPr>
        <w:spacing w:lineRule="auto" w:line="276"/>
        <w:ind w:hanging="360" w:start="426"/>
        <w:jc w:val="both"/>
        <w:rPr>
          <w:rFonts w:ascii="Calibri" w:hAnsi="Calibri" w:cs="Calibri"/>
          <w:sz w:val="22"/>
          <w:szCs w:val="22"/>
        </w:rPr>
      </w:pPr>
      <w:r>
        <w:rPr>
          <w:rFonts w:eastAsia="Calibri" w:cs="Calibri" w:ascii="Calibri" w:hAnsi="Calibri"/>
          <w:sz w:val="22"/>
          <w:szCs w:val="22"/>
        </w:rPr>
        <w:t>Wykonawca przed zawarciem umów z podwykonawcami na żądanie Zamawiającego zobowiązuje się udzielić mu wszelkich informacji dotyczących tych podwykonawców.</w:t>
      </w:r>
    </w:p>
    <w:p>
      <w:pPr>
        <w:pStyle w:val="ListParagraph"/>
        <w:numPr>
          <w:ilvl w:val="0"/>
          <w:numId w:val="21"/>
        </w:numPr>
        <w:spacing w:lineRule="auto" w:line="276"/>
        <w:ind w:hanging="360" w:start="426"/>
        <w:jc w:val="both"/>
        <w:rPr>
          <w:rFonts w:ascii="Calibri" w:hAnsi="Calibri" w:cs="Calibri"/>
          <w:sz w:val="22"/>
          <w:szCs w:val="22"/>
        </w:rPr>
      </w:pPr>
      <w:r>
        <w:rPr>
          <w:rFonts w:eastAsia="Calibri" w:cs="Calibri" w:ascii="Calibri" w:hAnsi="Calibri"/>
          <w:sz w:val="22"/>
          <w:szCs w:val="22"/>
        </w:rPr>
        <w:t xml:space="preserve">Zamawiający w terminie do 14 dni od otrzymania projektu umowy o podwykonawstwo zgłasza w formie pisemnej, pod rygorem nieważności, zastrzeżenia do projektu umowy o podwykonawstwo, której przedmiotem są roboty budowlane i do jej zmiany w </w:t>
      </w:r>
      <w:bookmarkStart w:id="0" w:name="413"/>
      <w:bookmarkEnd w:id="0"/>
      <w:r>
        <w:rPr>
          <w:rFonts w:eastAsia="Calibri" w:cs="Calibri" w:ascii="Calibri" w:hAnsi="Calibri"/>
          <w:sz w:val="22"/>
          <w:szCs w:val="22"/>
        </w:rPr>
        <w:t>przypadkach, o których mowa w art. 464 ust. 3 ustawy pzp.</w:t>
      </w:r>
    </w:p>
    <w:p>
      <w:pPr>
        <w:pStyle w:val="ListParagraph"/>
        <w:numPr>
          <w:ilvl w:val="0"/>
          <w:numId w:val="21"/>
        </w:numPr>
        <w:spacing w:lineRule="auto" w:line="276"/>
        <w:ind w:hanging="360" w:start="426"/>
        <w:jc w:val="both"/>
        <w:rPr>
          <w:rFonts w:ascii="Calibri" w:hAnsi="Calibri" w:cs="Calibri"/>
          <w:sz w:val="22"/>
          <w:szCs w:val="22"/>
        </w:rPr>
      </w:pPr>
      <w:r>
        <w:rPr>
          <w:rFonts w:eastAsia="Calibri" w:cs="Calibri" w:ascii="Calibri" w:hAnsi="Calibri"/>
          <w:sz w:val="22"/>
          <w:szCs w:val="22"/>
        </w:rPr>
        <w:t>Niezgłoszenie pisemnych zastrzeżeń, o których mowa w ust. 9 do przedłożonego projektu umowy o podwykonawstwo, której przedmiotem są roboty budowlane, i do jej zmiany, w terminie 14 dni, uważa się za akceptację projektu umowy, i jej zmiany, przez Zamawiającego.</w:t>
      </w:r>
    </w:p>
    <w:p>
      <w:pPr>
        <w:pStyle w:val="ListParagraph"/>
        <w:numPr>
          <w:ilvl w:val="0"/>
          <w:numId w:val="21"/>
        </w:numPr>
        <w:spacing w:lineRule="auto" w:line="276"/>
        <w:ind w:hanging="360" w:start="426"/>
        <w:jc w:val="both"/>
        <w:rPr>
          <w:rFonts w:ascii="Calibri" w:hAnsi="Calibri" w:cs="Calibri"/>
          <w:sz w:val="22"/>
          <w:szCs w:val="22"/>
        </w:rPr>
      </w:pPr>
      <w:r>
        <w:rPr>
          <w:rFonts w:eastAsia="Calibri" w:cs="Calibri" w:ascii="Calibri" w:hAnsi="Calibri"/>
          <w:sz w:val="22"/>
          <w:szCs w:val="22"/>
        </w:rPr>
        <w:t>Wykonawca, podwykonawca lub dalszy podwykonawca zamówienia na roboty budowlane przedkłada Zamawiającemu poświadczoną za zgodność z oryginałem kopię zawartej umowy o podwykonawstwo, której przedmiotem są roboty budowlane, w terminie do 7 dni od dnia jej zawarcia.</w:t>
      </w:r>
    </w:p>
    <w:p>
      <w:pPr>
        <w:pStyle w:val="ListParagraph"/>
        <w:numPr>
          <w:ilvl w:val="0"/>
          <w:numId w:val="21"/>
        </w:numPr>
        <w:spacing w:lineRule="auto" w:line="276"/>
        <w:ind w:hanging="360" w:start="426"/>
        <w:jc w:val="both"/>
        <w:rPr>
          <w:rFonts w:ascii="Calibri" w:hAnsi="Calibri" w:cs="Calibri"/>
          <w:sz w:val="22"/>
          <w:szCs w:val="22"/>
        </w:rPr>
      </w:pPr>
      <w:r>
        <w:rPr>
          <w:rFonts w:eastAsia="Calibri" w:cs="Calibri" w:ascii="Calibri" w:hAnsi="Calibri"/>
          <w:sz w:val="22"/>
          <w:szCs w:val="22"/>
        </w:rPr>
        <w:t>Zamawiający w terminie określonym w ust. 10 zgłasza w formie pisemnej, pod rygorem nieważności sprzeciw do umowy o podwykonawstwo, której przedmiotem są roboty budowlane, i do jej zmiany w przypadkach o których mowa w art. 464 ust. 3 ustawy pzp.</w:t>
      </w:r>
    </w:p>
    <w:p>
      <w:pPr>
        <w:pStyle w:val="ListParagraph"/>
        <w:numPr>
          <w:ilvl w:val="0"/>
          <w:numId w:val="21"/>
        </w:numPr>
        <w:spacing w:lineRule="auto" w:line="276"/>
        <w:ind w:hanging="360" w:start="426"/>
        <w:jc w:val="both"/>
        <w:rPr>
          <w:rFonts w:ascii="Calibri" w:hAnsi="Calibri" w:cs="Calibri"/>
          <w:sz w:val="22"/>
          <w:szCs w:val="22"/>
        </w:rPr>
      </w:pPr>
      <w:r>
        <w:rPr>
          <w:rFonts w:eastAsia="Calibri" w:cs="Calibri" w:ascii="Calibri" w:hAnsi="Calibri"/>
          <w:sz w:val="22"/>
          <w:szCs w:val="22"/>
        </w:rPr>
        <w:t>Niezgłoszenie sprzeciwu, o którym mowa w ust. 12 do przedłożonej umowy o podwykonawstwo, której przedmiotem są roboty budowlane, i do jej zmiany, w terminie, o którym mowa w ust. 9, uważa się za akceptację umowy i jej zmian, przez Zamawiającego.</w:t>
      </w:r>
    </w:p>
    <w:p>
      <w:pPr>
        <w:pStyle w:val="ListParagraph"/>
        <w:numPr>
          <w:ilvl w:val="0"/>
          <w:numId w:val="21"/>
        </w:numPr>
        <w:spacing w:lineRule="auto" w:line="276"/>
        <w:ind w:hanging="360" w:start="426"/>
        <w:jc w:val="both"/>
        <w:rPr>
          <w:rFonts w:ascii="Calibri" w:hAnsi="Calibri" w:cs="Calibri"/>
          <w:sz w:val="22"/>
          <w:szCs w:val="22"/>
        </w:rPr>
      </w:pPr>
      <w:r>
        <w:rPr>
          <w:rFonts w:eastAsia="Calibri" w:cs="Calibri" w:ascii="Calibri" w:hAnsi="Calibri"/>
          <w:sz w:val="22"/>
          <w:szCs w:val="22"/>
        </w:rPr>
        <w:t>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 wartości umowy oraz umów o podwykonawstwo, których przedmiot został wskazany przez Zamawiającego w dokumentach zamówienia. Wyłączenie nie dotyczy umów o podwykonawstwo o wartości większej niż 50.000,00 zł.</w:t>
      </w:r>
    </w:p>
    <w:p>
      <w:pPr>
        <w:pStyle w:val="ListParagraph"/>
        <w:numPr>
          <w:ilvl w:val="0"/>
          <w:numId w:val="21"/>
        </w:numPr>
        <w:spacing w:lineRule="auto" w:line="276"/>
        <w:ind w:hanging="360" w:start="426"/>
        <w:jc w:val="both"/>
        <w:rPr>
          <w:rFonts w:ascii="Calibri" w:hAnsi="Calibri" w:cs="Calibri"/>
          <w:sz w:val="22"/>
          <w:szCs w:val="22"/>
        </w:rPr>
      </w:pPr>
      <w:r>
        <w:rPr>
          <w:rFonts w:eastAsia="Calibri" w:cs="Calibri" w:ascii="Calibri" w:hAnsi="Calibri"/>
          <w:sz w:val="22"/>
          <w:szCs w:val="22"/>
        </w:rPr>
        <w:t>W przypadku, o którym mowa w ust. 14 podwykonawca lub dalszy podwykonawca, przedkłada poświadczoną za zgodność z oryginałem kopię umowy również Wykonawcy.</w:t>
      </w:r>
    </w:p>
    <w:p>
      <w:pPr>
        <w:pStyle w:val="ListParagraph"/>
        <w:numPr>
          <w:ilvl w:val="0"/>
          <w:numId w:val="21"/>
        </w:numPr>
        <w:spacing w:lineRule="auto" w:line="276"/>
        <w:ind w:hanging="360" w:start="426"/>
        <w:jc w:val="both"/>
        <w:rPr>
          <w:rFonts w:ascii="Calibri" w:hAnsi="Calibri" w:cs="Calibri"/>
          <w:sz w:val="22"/>
          <w:szCs w:val="22"/>
        </w:rPr>
      </w:pPr>
      <w:r>
        <w:rPr>
          <w:rFonts w:eastAsia="Calibri" w:cs="Calibri" w:ascii="Calibri" w:hAnsi="Calibri"/>
          <w:sz w:val="22"/>
          <w:szCs w:val="22"/>
        </w:rPr>
        <w:t>Do zawarcia przez podwykonawcę umowy z dalszym podwykonawcą jest wymagana zgoda Wykonawcy.</w:t>
      </w:r>
    </w:p>
    <w:p>
      <w:pPr>
        <w:pStyle w:val="ListParagraph"/>
        <w:numPr>
          <w:ilvl w:val="0"/>
          <w:numId w:val="21"/>
        </w:numPr>
        <w:spacing w:lineRule="auto" w:line="276"/>
        <w:ind w:hanging="360" w:start="426"/>
        <w:jc w:val="both"/>
        <w:rPr>
          <w:rFonts w:ascii="Calibri" w:hAnsi="Calibri" w:cs="Calibri"/>
          <w:sz w:val="22"/>
          <w:szCs w:val="22"/>
        </w:rPr>
      </w:pPr>
      <w:r>
        <w:rPr>
          <w:rFonts w:eastAsia="Calibri" w:cs="Calibri" w:ascii="Calibri" w:hAnsi="Calibri"/>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pPr>
        <w:pStyle w:val="ListParagraph"/>
        <w:numPr>
          <w:ilvl w:val="0"/>
          <w:numId w:val="21"/>
        </w:numPr>
        <w:spacing w:lineRule="auto" w:line="276"/>
        <w:ind w:hanging="360" w:start="426"/>
        <w:jc w:val="both"/>
        <w:rPr>
          <w:rFonts w:ascii="Calibri" w:hAnsi="Calibri" w:cs="Calibri"/>
          <w:sz w:val="22"/>
          <w:szCs w:val="22"/>
        </w:rPr>
      </w:pPr>
      <w:r>
        <w:rPr>
          <w:rFonts w:eastAsia="Calibri" w:cs="Calibri" w:ascii="Calibri" w:hAnsi="Calibri"/>
          <w:sz w:val="22"/>
          <w:szCs w:val="22"/>
        </w:rPr>
        <w:t>W przypadku gdy przewidziany w umowie o podwykonawstwo termin płatności wynagrodzenia jest dłuższy niż określony w ust. 17 Zamawiający informuje o tym Wykonawcę i wezwie do doprowadzenia do zmiany tej umowy, pod rygorem wystąpienia o zapłatę kary umownej.</w:t>
      </w:r>
    </w:p>
    <w:p>
      <w:pPr>
        <w:pStyle w:val="ListParagraph"/>
        <w:numPr>
          <w:ilvl w:val="0"/>
          <w:numId w:val="21"/>
        </w:numPr>
        <w:spacing w:lineRule="auto" w:line="276"/>
        <w:ind w:hanging="360" w:start="426"/>
        <w:jc w:val="both"/>
        <w:rPr>
          <w:rFonts w:ascii="Calibri" w:hAnsi="Calibri" w:cs="Calibri"/>
          <w:sz w:val="22"/>
          <w:szCs w:val="22"/>
        </w:rPr>
      </w:pPr>
      <w:r>
        <w:rPr>
          <w:rFonts w:eastAsia="Calibri" w:cs="Calibri" w:ascii="Calibri" w:hAnsi="Calibri"/>
          <w:sz w:val="22"/>
          <w:szCs w:val="22"/>
        </w:rPr>
        <w:t>Umowa o podwykonawstwo nie może zawierać postanowień kształtujących prawa i obowiązki podwykonawcy w zakresie kar umownych oraz postanowień dotyczących wypłaty wynagrodzenia w sposób mniej korzystny niż prawa i obowiązki Wykonawcy, ukształtowane postanowieniami niniejszej umowy.</w:t>
      </w:r>
    </w:p>
    <w:p>
      <w:pPr>
        <w:pStyle w:val="ListParagraph"/>
        <w:numPr>
          <w:ilvl w:val="0"/>
          <w:numId w:val="21"/>
        </w:numPr>
        <w:spacing w:lineRule="auto" w:line="276"/>
        <w:ind w:hanging="360" w:start="426"/>
        <w:jc w:val="both"/>
        <w:rPr>
          <w:rFonts w:ascii="Calibri" w:hAnsi="Calibri" w:cs="Calibri"/>
          <w:sz w:val="22"/>
          <w:szCs w:val="22"/>
        </w:rPr>
      </w:pPr>
      <w:r>
        <w:rPr>
          <w:rFonts w:eastAsia="Calibri" w:cs="Calibri" w:ascii="Calibri" w:hAnsi="Calibri"/>
          <w:sz w:val="22"/>
          <w:szCs w:val="22"/>
        </w:rPr>
        <w:t>Wykonawca ponosi wobec Zamawiającego pełną odpowiedzialność za roboty, które wykonuje przy pomocy podwykonawców lub dalszych podwykonawców, w tym za jakość, terminowość oraz bezpieczeństwo wykonywanych robót przy pomocy podwykonawców lub dalszych podwykonawców. Wykonawca odpowiada za działania i zaniechania podwykonawców dalszych podwykonawców jak za własne.</w:t>
      </w:r>
    </w:p>
    <w:p>
      <w:pPr>
        <w:pStyle w:val="Normal"/>
        <w:spacing w:lineRule="auto" w:line="276" w:before="0" w:after="0"/>
        <w:jc w:val="center"/>
        <w:rPr>
          <w:rFonts w:ascii="Calibri" w:hAnsi="Calibri" w:cs="Calibri"/>
          <w:b/>
        </w:rPr>
      </w:pPr>
      <w:r>
        <w:rPr>
          <w:rFonts w:eastAsia="Calibri" w:cs="Calibri" w:ascii="Calibri" w:hAnsi="Calibri"/>
          <w:b/>
          <w:lang w:eastAsia="pl-PL"/>
        </w:rPr>
        <w:t>§ 4</w:t>
      </w:r>
    </w:p>
    <w:p>
      <w:pPr>
        <w:pStyle w:val="Normal"/>
        <w:spacing w:lineRule="auto" w:line="276" w:before="0" w:after="0"/>
        <w:jc w:val="center"/>
        <w:rPr>
          <w:rFonts w:ascii="Calibri" w:hAnsi="Calibri" w:cs="Calibri"/>
          <w:b/>
        </w:rPr>
      </w:pPr>
      <w:r>
        <w:rPr>
          <w:rFonts w:eastAsia="Calibri" w:cs="Calibri" w:ascii="Calibri" w:hAnsi="Calibri"/>
          <w:b/>
          <w:lang w:eastAsia="pl-PL"/>
        </w:rPr>
        <w:t>Termin wykonania</w:t>
      </w:r>
    </w:p>
    <w:p>
      <w:pPr>
        <w:pStyle w:val="Normal"/>
        <w:numPr>
          <w:ilvl w:val="0"/>
          <w:numId w:val="2"/>
        </w:numPr>
        <w:spacing w:lineRule="auto" w:line="276" w:before="0" w:after="0"/>
        <w:ind w:hanging="357" w:start="357"/>
        <w:jc w:val="both"/>
        <w:rPr>
          <w:rFonts w:ascii="Calibri" w:hAnsi="Calibri" w:cs="Calibri"/>
        </w:rPr>
      </w:pPr>
      <w:r>
        <w:rPr>
          <w:rFonts w:eastAsia="Calibri" w:cs="Calibri" w:ascii="Calibri" w:hAnsi="Calibri"/>
          <w:lang w:eastAsia="pl-PL"/>
        </w:rPr>
        <w:t>Termin rozpoczęcia przedmiotu umowy ustala się na dzień podpisania umowy.</w:t>
      </w:r>
    </w:p>
    <w:p>
      <w:pPr>
        <w:pStyle w:val="Normal"/>
        <w:numPr>
          <w:ilvl w:val="0"/>
          <w:numId w:val="2"/>
        </w:numPr>
        <w:spacing w:lineRule="auto" w:line="276" w:before="0" w:after="0"/>
        <w:jc w:val="both"/>
        <w:rPr>
          <w:rFonts w:ascii="Calibri" w:hAnsi="Calibri" w:cs="Calibri"/>
        </w:rPr>
      </w:pPr>
      <w:r>
        <w:rPr>
          <w:rFonts w:eastAsia="Calibri" w:cs="Calibri" w:ascii="Calibri" w:hAnsi="Calibri"/>
          <w:lang w:eastAsia="pl-PL"/>
        </w:rPr>
        <w:t>Termin zakończenia realizacji przedmiotu umowy nastąpi do 30.09.2026 r</w:t>
      </w:r>
    </w:p>
    <w:p>
      <w:pPr>
        <w:pStyle w:val="Normal"/>
        <w:numPr>
          <w:ilvl w:val="0"/>
          <w:numId w:val="2"/>
        </w:numPr>
        <w:spacing w:lineRule="auto" w:line="276" w:before="0" w:after="0"/>
        <w:ind w:hanging="357" w:start="357"/>
        <w:jc w:val="both"/>
        <w:rPr>
          <w:rFonts w:ascii="Calibri" w:hAnsi="Calibri" w:cs="Calibri"/>
        </w:rPr>
      </w:pPr>
      <w:r>
        <w:rPr>
          <w:rFonts w:eastAsia="Calibri" w:cs="Calibri" w:ascii="Calibri" w:hAnsi="Calibri"/>
        </w:rPr>
        <w:t xml:space="preserve">Termin zakończenia, o którym mowa w ust. 2 obejmuje zakończenie wszelkich robót objętych umową oraz wykonanie wszelkich wynikających z nich poprawek i zaleceń, jak również całkowite uprzątnięcie terenu i zakończenie czynności odbioru końcowego. </w:t>
      </w:r>
    </w:p>
    <w:p>
      <w:pPr>
        <w:pStyle w:val="Normal"/>
        <w:numPr>
          <w:ilvl w:val="0"/>
          <w:numId w:val="2"/>
        </w:numPr>
        <w:spacing w:lineRule="auto" w:line="276" w:before="0" w:after="0"/>
        <w:ind w:hanging="357" w:start="357"/>
        <w:jc w:val="both"/>
        <w:rPr>
          <w:rFonts w:ascii="Calibri" w:hAnsi="Calibri" w:cs="Calibri"/>
        </w:rPr>
      </w:pPr>
      <w:r>
        <w:rPr>
          <w:rFonts w:eastAsia="Calibri" w:cs="Calibri" w:ascii="Calibri" w:hAnsi="Calibri"/>
        </w:rPr>
        <w:t xml:space="preserve">Przed terminem, o którym mowa w ust. 2 Wykonawca jest zobowiązany w imieniu Zamawiającego złożyć wniosek o zakończenie robót budowlanych i uzyskać zaświadczenie o braku sprzeciwu dot. zakończenia budowy we właściwym organie nadzoru budowlanego. </w:t>
      </w:r>
    </w:p>
    <w:p>
      <w:pPr>
        <w:pStyle w:val="Normal"/>
        <w:numPr>
          <w:ilvl w:val="0"/>
          <w:numId w:val="2"/>
        </w:numPr>
        <w:spacing w:lineRule="auto" w:line="276" w:before="0" w:after="0"/>
        <w:ind w:hanging="357" w:start="357"/>
        <w:jc w:val="both"/>
        <w:rPr>
          <w:rFonts w:ascii="Calibri" w:hAnsi="Calibri" w:cs="Calibri"/>
        </w:rPr>
      </w:pPr>
      <w:r>
        <w:rPr>
          <w:rFonts w:eastAsia="Calibri" w:cs="Calibri" w:ascii="Calibri" w:hAnsi="Calibri"/>
        </w:rPr>
        <w:t>Wykonawca zawiadomi pisemnie Zamawiającego o osiągnięciu gotowości do odbioru końcowego.</w:t>
      </w:r>
    </w:p>
    <w:p>
      <w:pPr>
        <w:pStyle w:val="Normal"/>
        <w:spacing w:lineRule="auto" w:line="276" w:before="0" w:after="0"/>
        <w:ind w:hanging="431" w:start="431"/>
        <w:jc w:val="center"/>
        <w:rPr>
          <w:rFonts w:ascii="Calibri" w:hAnsi="Calibri" w:cs="Calibri"/>
          <w:b/>
        </w:rPr>
      </w:pPr>
      <w:r>
        <w:rPr>
          <w:rFonts w:eastAsia="Calibri" w:cs="Calibri" w:ascii="Calibri" w:hAnsi="Calibri"/>
          <w:b/>
          <w:lang w:eastAsia="pl-PL"/>
        </w:rPr>
        <w:t>§ 5</w:t>
      </w:r>
    </w:p>
    <w:p>
      <w:pPr>
        <w:pStyle w:val="Normal"/>
        <w:spacing w:lineRule="auto" w:line="276" w:before="0" w:after="0"/>
        <w:ind w:hanging="431" w:start="431"/>
        <w:jc w:val="center"/>
        <w:rPr>
          <w:rFonts w:ascii="Calibri" w:hAnsi="Calibri" w:cs="Calibri"/>
          <w:b/>
        </w:rPr>
      </w:pPr>
      <w:r>
        <w:rPr>
          <w:rFonts w:eastAsia="Calibri" w:cs="Calibri" w:ascii="Calibri" w:hAnsi="Calibri"/>
          <w:b/>
          <w:lang w:eastAsia="pl-PL"/>
        </w:rPr>
        <w:t>Nadzór techniczny</w:t>
      </w:r>
    </w:p>
    <w:p>
      <w:pPr>
        <w:pStyle w:val="Normal"/>
        <w:widowControl w:val="false"/>
        <w:numPr>
          <w:ilvl w:val="0"/>
          <w:numId w:val="3"/>
        </w:numPr>
        <w:spacing w:lineRule="auto" w:line="276" w:before="0" w:after="0"/>
        <w:jc w:val="both"/>
        <w:rPr>
          <w:rFonts w:ascii="Calibri" w:hAnsi="Calibri" w:cs="Calibri"/>
        </w:rPr>
      </w:pPr>
      <w:r>
        <w:rPr>
          <w:rFonts w:eastAsia="Calibri" w:cs="Calibri" w:ascii="Calibri" w:hAnsi="Calibri"/>
        </w:rPr>
        <w:t>Wykonawca ustanawia Kierownika budowy w osobie ………………, która posiada uprawnienia budowlane o nr ewidencyjnym ……….. w specjalności: ……………. oraz jest członkiem okręgowej izby inżynierów budownictwa z nr ewidencyjnym …………………. .</w:t>
      </w:r>
    </w:p>
    <w:p>
      <w:pPr>
        <w:pStyle w:val="Standard"/>
        <w:numPr>
          <w:ilvl w:val="0"/>
          <w:numId w:val="3"/>
        </w:numPr>
        <w:tabs>
          <w:tab w:val="clear" w:pos="709"/>
          <w:tab w:val="left" w:pos="852" w:leader="none"/>
        </w:tabs>
        <w:spacing w:lineRule="auto" w:line="276"/>
        <w:jc w:val="both"/>
        <w:rPr>
          <w:rFonts w:ascii="Calibri" w:hAnsi="Calibri" w:cs="Calibri"/>
          <w:sz w:val="22"/>
          <w:szCs w:val="22"/>
        </w:rPr>
      </w:pPr>
      <w:r>
        <w:rPr>
          <w:rFonts w:eastAsia="Calibri" w:cs="Calibri" w:ascii="Calibri" w:hAnsi="Calibri" w:eastAsiaTheme="minorHAnsi"/>
          <w:sz w:val="22"/>
          <w:szCs w:val="22"/>
          <w:lang w:eastAsia="en-US" w:bidi="ar-SA"/>
        </w:rPr>
        <w:t>Kierownik Budowy działa w ramach obowiązków ustalonych w ustawie Prawo Budowlane.</w:t>
      </w:r>
    </w:p>
    <w:p>
      <w:pPr>
        <w:pStyle w:val="Standard"/>
        <w:numPr>
          <w:ilvl w:val="0"/>
          <w:numId w:val="3"/>
        </w:numPr>
        <w:tabs>
          <w:tab w:val="clear" w:pos="709"/>
          <w:tab w:val="left" w:pos="852" w:leader="none"/>
        </w:tabs>
        <w:spacing w:lineRule="auto" w:line="276"/>
        <w:jc w:val="both"/>
        <w:rPr>
          <w:rFonts w:ascii="Calibri" w:hAnsi="Calibri" w:cs="Calibri"/>
          <w:sz w:val="22"/>
          <w:szCs w:val="22"/>
        </w:rPr>
      </w:pPr>
      <w:r>
        <w:rPr>
          <w:rFonts w:eastAsia="Calibri" w:cs="Calibri" w:ascii="Calibri" w:hAnsi="Calibri"/>
          <w:sz w:val="22"/>
          <w:szCs w:val="22"/>
        </w:rPr>
        <w:t>Przedstawicielem Zamawiającego na budowie będzie osoba wskazana przez Zamawiającego oraz inspektor nadzoru ustanowiony przez Zamawiającego, w</w:t>
      </w:r>
      <w:r>
        <w:rPr>
          <w:rFonts w:eastAsia="Calibri" w:cs="Calibri" w:ascii="Calibri" w:hAnsi="Calibri" w:eastAsiaTheme="minorHAnsi"/>
          <w:sz w:val="22"/>
          <w:szCs w:val="22"/>
          <w:lang w:eastAsia="en-US" w:bidi="ar-SA"/>
        </w:rPr>
        <w:t xml:space="preserve"> osobie …………………… – uprawnienia budowlane o nr ewidencyjnym ……………….. do pełnienia samodzielnych funkcji technicznych w budownictwie oraz jest członkiem okręgowej izby inżynierów budownictwa z nr ewidencyjnym …………………...</w:t>
      </w:r>
    </w:p>
    <w:p>
      <w:pPr>
        <w:pStyle w:val="Standard"/>
        <w:numPr>
          <w:ilvl w:val="0"/>
          <w:numId w:val="3"/>
        </w:numPr>
        <w:tabs>
          <w:tab w:val="clear" w:pos="709"/>
          <w:tab w:val="left" w:pos="852" w:leader="none"/>
        </w:tabs>
        <w:spacing w:lineRule="auto" w:line="276"/>
        <w:jc w:val="both"/>
        <w:rPr>
          <w:rFonts w:ascii="Calibri" w:hAnsi="Calibri" w:cs="Calibri"/>
          <w:sz w:val="22"/>
          <w:szCs w:val="22"/>
        </w:rPr>
      </w:pPr>
      <w:r>
        <w:rPr>
          <w:rFonts w:eastAsia="Calibri" w:cs="Calibri" w:ascii="Calibri" w:hAnsi="Calibri" w:eastAsiaTheme="minorHAnsi"/>
          <w:sz w:val="22"/>
          <w:szCs w:val="22"/>
          <w:lang w:eastAsia="en-US" w:bidi="ar-SA"/>
        </w:rPr>
        <w:t>Inspektor Nadzoru Inwestorskiego działa w ramach obowiązków ustalonych w ustawie Prawo Budowlane.</w:t>
      </w:r>
    </w:p>
    <w:p>
      <w:pPr>
        <w:pStyle w:val="Standard"/>
        <w:numPr>
          <w:ilvl w:val="0"/>
          <w:numId w:val="3"/>
        </w:numPr>
        <w:tabs>
          <w:tab w:val="clear" w:pos="709"/>
          <w:tab w:val="left" w:pos="852" w:leader="none"/>
        </w:tabs>
        <w:spacing w:lineRule="auto" w:line="276"/>
        <w:jc w:val="both"/>
        <w:rPr>
          <w:rFonts w:ascii="Calibri" w:hAnsi="Calibri" w:cs="Calibri"/>
          <w:sz w:val="22"/>
          <w:szCs w:val="22"/>
        </w:rPr>
      </w:pPr>
      <w:r>
        <w:rPr>
          <w:rFonts w:eastAsia="Calibri" w:cs="Calibri" w:ascii="Calibri" w:hAnsi="Calibri" w:eastAsiaTheme="minorHAnsi"/>
          <w:sz w:val="22"/>
          <w:szCs w:val="22"/>
          <w:lang w:eastAsia="en-US" w:bidi="ar-SA"/>
        </w:rPr>
        <w:t>W</w:t>
      </w:r>
      <w:r>
        <w:rPr>
          <w:rFonts w:eastAsia="Calibri" w:cs="Calibri" w:ascii="Calibri" w:hAnsi="Calibri"/>
        </w:rPr>
        <w:t xml:space="preserve">ykonawca ustanawia Projektanta branży drogowej – koordynatora prac projektowych </w:t>
        <w:br/>
        <w:t>w osobie ………………, która posiada uprawnienia budowlane o nr ewidencyjnym ……….. w specjalności drogowej oraz jest członkiem okręgowej izby inżynierów budownictwa z nr ewidencyjnym …………………. .</w:t>
      </w:r>
    </w:p>
    <w:p>
      <w:pPr>
        <w:pStyle w:val="Normal"/>
        <w:spacing w:lineRule="auto" w:line="276" w:before="0" w:after="0"/>
        <w:ind w:hanging="431" w:start="431"/>
        <w:jc w:val="center"/>
        <w:rPr>
          <w:rFonts w:ascii="Calibri" w:hAnsi="Calibri" w:cs="Calibri"/>
          <w:b/>
        </w:rPr>
      </w:pPr>
      <w:r>
        <w:rPr>
          <w:rFonts w:eastAsia="Calibri" w:cs="Calibri" w:ascii="Calibri" w:hAnsi="Calibri"/>
          <w:b/>
          <w:lang w:eastAsia="pl-PL"/>
        </w:rPr>
        <w:t>§ 6</w:t>
      </w:r>
    </w:p>
    <w:p>
      <w:pPr>
        <w:pStyle w:val="Normal"/>
        <w:spacing w:lineRule="auto" w:line="276" w:before="0" w:after="0"/>
        <w:ind w:hanging="431" w:start="431"/>
        <w:jc w:val="center"/>
        <w:rPr>
          <w:rFonts w:ascii="Calibri" w:hAnsi="Calibri" w:cs="Calibri"/>
          <w:b/>
        </w:rPr>
      </w:pPr>
      <w:r>
        <w:rPr>
          <w:rFonts w:eastAsia="Calibri" w:cs="Calibri" w:ascii="Calibri" w:hAnsi="Calibri"/>
          <w:b/>
          <w:lang w:eastAsia="pl-PL"/>
        </w:rPr>
        <w:t>Obowiązki stron</w:t>
      </w:r>
    </w:p>
    <w:p>
      <w:pPr>
        <w:pStyle w:val="Normal"/>
        <w:numPr>
          <w:ilvl w:val="0"/>
          <w:numId w:val="5"/>
        </w:numPr>
        <w:tabs>
          <w:tab w:val="clear" w:pos="709"/>
          <w:tab w:val="left" w:pos="426" w:leader="none"/>
        </w:tabs>
        <w:spacing w:lineRule="auto" w:line="276" w:before="0" w:after="0"/>
        <w:jc w:val="both"/>
        <w:rPr>
          <w:rFonts w:ascii="Calibri" w:hAnsi="Calibri" w:cs="Calibri"/>
        </w:rPr>
      </w:pPr>
      <w:r>
        <w:rPr>
          <w:rFonts w:eastAsia="Calibri" w:cs="Calibri" w:ascii="Calibri" w:hAnsi="Calibri"/>
          <w:lang w:eastAsia="pl-PL"/>
        </w:rPr>
        <w:t xml:space="preserve">Obowiązki Zamawiającego: </w:t>
      </w:r>
    </w:p>
    <w:p>
      <w:pPr>
        <w:pStyle w:val="ListParagraph"/>
        <w:numPr>
          <w:ilvl w:val="0"/>
          <w:numId w:val="18"/>
        </w:numPr>
        <w:ind w:hanging="360" w:start="709"/>
        <w:jc w:val="both"/>
        <w:rPr>
          <w:rFonts w:ascii="Calibri" w:hAnsi="Calibri" w:cs="Calibri"/>
          <w:sz w:val="22"/>
          <w:szCs w:val="22"/>
        </w:rPr>
      </w:pPr>
      <w:r>
        <w:rPr>
          <w:rFonts w:eastAsia="Calibri" w:cs="Calibri" w:ascii="Calibri" w:hAnsi="Calibri"/>
          <w:iCs/>
          <w:sz w:val="22"/>
          <w:szCs w:val="22"/>
        </w:rPr>
        <w:t>Zamawiający w terminie do 3 dni po podpisaniu umowy, przekaże Wykonawcy informacje istotne dla wykonania przedmiotu umowy, dowód posiadania tytułu prawnego uprawniającego Zamawiającego do dysponowania nieruchomością na cele budowlane, posiadaną dokumentację PFU.</w:t>
      </w:r>
      <w:r>
        <w:rPr>
          <w:rFonts w:eastAsia="Calibri" w:cs="Calibri" w:ascii="Calibri" w:hAnsi="Calibri"/>
          <w:sz w:val="22"/>
          <w:szCs w:val="22"/>
        </w:rPr>
        <w:t xml:space="preserve"> Zapewni Wykonawcy dostęp do nieruchomości w związku z pracami projektowymi i prowadzonym w ich następstwie robotami budowlanymi.</w:t>
      </w:r>
    </w:p>
    <w:p>
      <w:pPr>
        <w:pStyle w:val="ListParagraph"/>
        <w:numPr>
          <w:ilvl w:val="0"/>
          <w:numId w:val="18"/>
        </w:numPr>
        <w:ind w:hanging="360" w:start="709"/>
        <w:jc w:val="both"/>
        <w:rPr>
          <w:rFonts w:ascii="Calibri" w:hAnsi="Calibri" w:cs="Calibri"/>
          <w:sz w:val="22"/>
          <w:szCs w:val="22"/>
        </w:rPr>
      </w:pPr>
      <w:r>
        <w:rPr>
          <w:rFonts w:eastAsia="Calibri" w:cs="Calibri" w:ascii="Calibri" w:hAnsi="Calibri"/>
          <w:iCs/>
          <w:sz w:val="22"/>
          <w:szCs w:val="22"/>
        </w:rPr>
        <w:t>Zamawiający upoważni Wykonawcę do reprezentowania Zamawiającego w sprawach związanych z opracowaniem dokumentacji projektowej,</w:t>
      </w:r>
    </w:p>
    <w:p>
      <w:pPr>
        <w:pStyle w:val="ListParagraph"/>
        <w:numPr>
          <w:ilvl w:val="0"/>
          <w:numId w:val="18"/>
        </w:numPr>
        <w:tabs>
          <w:tab w:val="clear" w:pos="709"/>
          <w:tab w:val="left" w:pos="426" w:leader="none"/>
        </w:tabs>
        <w:spacing w:lineRule="auto" w:line="276"/>
        <w:ind w:hanging="360" w:start="709"/>
        <w:jc w:val="both"/>
        <w:rPr>
          <w:rFonts w:ascii="Calibri" w:hAnsi="Calibri" w:cs="Calibri"/>
          <w:sz w:val="22"/>
          <w:szCs w:val="22"/>
        </w:rPr>
      </w:pPr>
      <w:r>
        <w:rPr>
          <w:rFonts w:eastAsia="Calibri" w:cs="Calibri" w:ascii="Calibri" w:hAnsi="Calibri"/>
          <w:sz w:val="22"/>
          <w:szCs w:val="22"/>
        </w:rPr>
        <w:t xml:space="preserve">Zamawiający zapewnieni nadzór inwestorski nad realizacją robót budowlanych będących przedmiotem umowy, </w:t>
      </w:r>
    </w:p>
    <w:p>
      <w:pPr>
        <w:pStyle w:val="ListParagraph"/>
        <w:numPr>
          <w:ilvl w:val="0"/>
          <w:numId w:val="18"/>
        </w:numPr>
        <w:tabs>
          <w:tab w:val="clear" w:pos="709"/>
          <w:tab w:val="left" w:pos="426" w:leader="none"/>
        </w:tabs>
        <w:spacing w:lineRule="auto" w:line="276"/>
        <w:ind w:hanging="360" w:start="709"/>
        <w:jc w:val="both"/>
        <w:rPr>
          <w:rFonts w:ascii="Calibri" w:hAnsi="Calibri" w:cs="Calibri"/>
          <w:sz w:val="22"/>
          <w:szCs w:val="22"/>
        </w:rPr>
      </w:pPr>
      <w:r>
        <w:rPr>
          <w:rFonts w:eastAsia="Calibri" w:cs="Calibri" w:ascii="Calibri" w:hAnsi="Calibri"/>
          <w:sz w:val="22"/>
          <w:szCs w:val="22"/>
        </w:rPr>
        <w:t xml:space="preserve">Zamawiający dokonana odbioru końcowego przedmiotu umowy, </w:t>
      </w:r>
    </w:p>
    <w:p>
      <w:pPr>
        <w:pStyle w:val="ListParagraph"/>
        <w:numPr>
          <w:ilvl w:val="0"/>
          <w:numId w:val="18"/>
        </w:numPr>
        <w:tabs>
          <w:tab w:val="clear" w:pos="709"/>
          <w:tab w:val="left" w:pos="426" w:leader="none"/>
        </w:tabs>
        <w:spacing w:lineRule="auto" w:line="276"/>
        <w:ind w:hanging="360" w:start="709"/>
        <w:jc w:val="both"/>
        <w:rPr>
          <w:rFonts w:ascii="Calibri" w:hAnsi="Calibri" w:cs="Calibri"/>
          <w:sz w:val="22"/>
          <w:szCs w:val="22"/>
        </w:rPr>
      </w:pPr>
      <w:r>
        <w:rPr>
          <w:rFonts w:eastAsia="Calibri" w:cs="Calibri" w:ascii="Calibri" w:hAnsi="Calibri"/>
          <w:sz w:val="22"/>
          <w:szCs w:val="22"/>
        </w:rPr>
        <w:t>Zamawiający dokona zapłaty należnego wynagrodzenia Wykonawcy za odebraną dokumentację, prace i roboty zgodnie z umową,</w:t>
      </w:r>
    </w:p>
    <w:p>
      <w:pPr>
        <w:pStyle w:val="ListParagraph"/>
        <w:numPr>
          <w:ilvl w:val="0"/>
          <w:numId w:val="18"/>
        </w:numPr>
        <w:tabs>
          <w:tab w:val="clear" w:pos="709"/>
          <w:tab w:val="left" w:pos="426" w:leader="none"/>
        </w:tabs>
        <w:spacing w:lineRule="auto" w:line="276"/>
        <w:ind w:hanging="360" w:start="709"/>
        <w:jc w:val="both"/>
        <w:rPr>
          <w:rFonts w:ascii="Calibri" w:hAnsi="Calibri" w:cs="Calibri"/>
          <w:sz w:val="22"/>
          <w:szCs w:val="22"/>
        </w:rPr>
      </w:pPr>
      <w:r>
        <w:rPr>
          <w:rFonts w:eastAsia="Calibri" w:cs="Calibri" w:ascii="Calibri" w:hAnsi="Calibri"/>
          <w:sz w:val="22"/>
          <w:szCs w:val="22"/>
        </w:rPr>
        <w:t>Zamawiający nie zapewnia podłączenia mediów.</w:t>
      </w:r>
    </w:p>
    <w:p>
      <w:pPr>
        <w:pStyle w:val="ListParagraph"/>
        <w:numPr>
          <w:ilvl w:val="0"/>
          <w:numId w:val="5"/>
        </w:numPr>
        <w:spacing w:lineRule="auto" w:line="276"/>
        <w:jc w:val="both"/>
        <w:rPr>
          <w:rFonts w:ascii="Calibri" w:hAnsi="Calibri" w:cs="Calibri"/>
          <w:sz w:val="22"/>
          <w:szCs w:val="22"/>
        </w:rPr>
      </w:pPr>
      <w:r>
        <w:rPr>
          <w:rFonts w:eastAsia="Calibri" w:cs="Calibri" w:ascii="Calibri" w:hAnsi="Calibri"/>
          <w:sz w:val="22"/>
          <w:szCs w:val="22"/>
        </w:rPr>
        <w:t>Obowiązki Wykonawcy:</w:t>
      </w:r>
    </w:p>
    <w:p>
      <w:pPr>
        <w:pStyle w:val="ListParagraph"/>
        <w:numPr>
          <w:ilvl w:val="0"/>
          <w:numId w:val="19"/>
        </w:numPr>
        <w:ind w:hanging="360" w:start="709"/>
        <w:jc w:val="both"/>
        <w:rPr>
          <w:rFonts w:ascii="Calibri" w:hAnsi="Calibri" w:cs="Calibri"/>
          <w:sz w:val="22"/>
          <w:szCs w:val="22"/>
        </w:rPr>
      </w:pPr>
      <w:r>
        <w:rPr>
          <w:rFonts w:eastAsia="Calibri" w:cs="Calibri" w:ascii="Calibri" w:hAnsi="Calibri"/>
          <w:sz w:val="22"/>
          <w:szCs w:val="22"/>
        </w:rPr>
        <w:t>Wykonawca zobowiązuje się do wykonania zadania określonego w § 1 ust 1 Umowy tj. opracowania wielobranżowej dokumentacji projektowej w sposób kompletny z punktu widzenia celu, któremu ma służyć, zgodnie z warunkami określonymi w Opisie Przedmiotu Zamówienia, obowiązującymi przepisami prawa, w tym warunkami techniczno-budowlanymi i współczesnymi zasadami wiedzy technicznej oraz do uzyskania wszystkich niezbędnych opinii, uzgodnień, sprawdzeń, pozwoleń i decyzji w zakresie niezbędnym do wykonania przedmiotu umowy i wykonanie robót budowlanych zgodnie z ta dokumentacją oraz sprawowanie nadzoru autorskiego nad wykonywanymi robotami budowlanymi.</w:t>
      </w:r>
    </w:p>
    <w:p>
      <w:pPr>
        <w:pStyle w:val="ListParagraph"/>
        <w:numPr>
          <w:ilvl w:val="0"/>
          <w:numId w:val="19"/>
        </w:numPr>
        <w:ind w:hanging="360" w:start="709"/>
        <w:jc w:val="both"/>
        <w:rPr>
          <w:rFonts w:ascii="Calibri" w:hAnsi="Calibri" w:cs="Calibri"/>
          <w:sz w:val="22"/>
          <w:szCs w:val="22"/>
        </w:rPr>
      </w:pPr>
      <w:r>
        <w:rPr>
          <w:rFonts w:eastAsia="Calibri" w:cs="Calibri" w:ascii="Calibri" w:hAnsi="Calibri"/>
          <w:sz w:val="22"/>
          <w:szCs w:val="22"/>
        </w:rPr>
        <w:t>Błędy lub braki Opisu Przedmiotu Zamówienia nie mogą być podstawą roszczeń i Wykonawca winien to wziąć pod uwagę przy wykonywaniu dokumentacji projektowej. Wymagania mogą nie objąć wszystkich szczegółów niezbędnych do opracowania dokumentacji projektowej. Wykonawca nie może wykorzystywać błędów lub braków Specyfikacji Warunków Zamówienia lub Opisu Przedmiotu Zamówienia, a o ich wykryciu winien natychmiast powiadomić Zamawiającego, który dokona odpowiednich poprawek, uzupełnień lub interpretacji.</w:t>
      </w:r>
    </w:p>
    <w:p>
      <w:pPr>
        <w:pStyle w:val="Standard"/>
        <w:numPr>
          <w:ilvl w:val="0"/>
          <w:numId w:val="19"/>
        </w:numPr>
        <w:spacing w:lineRule="auto" w:line="276"/>
        <w:ind w:hanging="360" w:start="709"/>
        <w:jc w:val="both"/>
        <w:rPr>
          <w:rFonts w:ascii="Calibri" w:hAnsi="Calibri" w:cs="Calibri"/>
          <w:sz w:val="22"/>
          <w:szCs w:val="22"/>
        </w:rPr>
      </w:pPr>
      <w:r>
        <w:rPr>
          <w:rFonts w:eastAsia="Calibri" w:cs="Calibri" w:ascii="Calibri" w:hAnsi="Calibri"/>
          <w:sz w:val="22"/>
          <w:szCs w:val="22"/>
          <w:lang w:eastAsia="pl-PL" w:bidi="ar-SA"/>
        </w:rPr>
        <w:t>Wykonawca jest odpowiedzialny za koordynowanie prac poszczególnych projektantów nad dokumentacją projektową, w tym także wykonanych przez podwykonawców oraz ponosi odpowiedzialność kontraktową za dokumentację projektową.</w:t>
      </w:r>
    </w:p>
    <w:p>
      <w:pPr>
        <w:pStyle w:val="Standard"/>
        <w:numPr>
          <w:ilvl w:val="0"/>
          <w:numId w:val="19"/>
        </w:numPr>
        <w:spacing w:lineRule="auto" w:line="276"/>
        <w:ind w:hanging="360" w:start="709"/>
        <w:jc w:val="both"/>
        <w:rPr>
          <w:rFonts w:ascii="Calibri" w:hAnsi="Calibri" w:cs="Calibri"/>
          <w:sz w:val="22"/>
          <w:szCs w:val="22"/>
        </w:rPr>
      </w:pPr>
      <w:r>
        <w:rPr>
          <w:rFonts w:eastAsia="Calibri" w:cs="Calibri" w:ascii="Calibri" w:hAnsi="Calibri"/>
          <w:sz w:val="22"/>
          <w:szCs w:val="22"/>
          <w:lang w:eastAsia="pl-PL" w:bidi="ar-SA"/>
        </w:rPr>
        <w:t>Wykonawca jest zobowiązany konsultować wszelkie kwestie i propozycje rozwiązań funkcjonalnych, użytkowych, urządzeń i materiałów zawartych w projekcie budowlanym i wykonawczym, w ramach spotkań z Zamawiającym. Uzgodnienia Stron w tym zakresie przyjmą formę pisemnej notatki z uzgodnień.</w:t>
      </w:r>
    </w:p>
    <w:p>
      <w:pPr>
        <w:pStyle w:val="Standard"/>
        <w:numPr>
          <w:ilvl w:val="0"/>
          <w:numId w:val="19"/>
        </w:numPr>
        <w:spacing w:lineRule="auto" w:line="276"/>
        <w:ind w:hanging="360" w:start="709"/>
        <w:jc w:val="both"/>
        <w:rPr>
          <w:rFonts w:ascii="Calibri" w:hAnsi="Calibri" w:cs="Calibri"/>
          <w:sz w:val="22"/>
          <w:szCs w:val="22"/>
        </w:rPr>
      </w:pPr>
      <w:r>
        <w:rPr>
          <w:rFonts w:eastAsia="Calibri" w:cs="Calibri" w:ascii="Calibri" w:hAnsi="Calibri"/>
          <w:sz w:val="22"/>
          <w:szCs w:val="22"/>
          <w:lang w:eastAsia="pl-PL" w:bidi="ar-SA"/>
        </w:rPr>
        <w:t>Wykonawca jest zobowiązany do opisywania proponowanych materiałów i urządzeń za pomocą cech technicznych i jakościowych, tzn. bez podawania znaków towarowych, patentów lub pochodzenia. Jeżeli nie będzie to możliwe Wykonawca zobowiązany jest do wskazania materiałów i urządzeń równoważnych.</w:t>
      </w:r>
    </w:p>
    <w:p>
      <w:pPr>
        <w:pStyle w:val="Standard"/>
        <w:numPr>
          <w:ilvl w:val="0"/>
          <w:numId w:val="19"/>
        </w:numPr>
        <w:spacing w:lineRule="auto" w:line="276"/>
        <w:ind w:hanging="360" w:start="709"/>
        <w:jc w:val="both"/>
        <w:rPr>
          <w:rFonts w:ascii="Calibri" w:hAnsi="Calibri" w:cs="Calibri"/>
          <w:sz w:val="22"/>
          <w:szCs w:val="22"/>
        </w:rPr>
      </w:pPr>
      <w:r>
        <w:rPr>
          <w:rFonts w:eastAsia="Calibri" w:cs="Calibri" w:ascii="Calibri" w:hAnsi="Calibri"/>
          <w:sz w:val="22"/>
          <w:szCs w:val="22"/>
          <w:lang w:eastAsia="pl-PL" w:bidi="ar-SA"/>
        </w:rPr>
        <w:t xml:space="preserve">Wykonawca działając w imieniu i na rzecz Zamawiającego złoży do właściwego organu wniosek o wydanie decyzji o pozwoleniu na budowę. Jeżeli wniosek nie zostanie przyjęty lub będzie wymagał uzupełnienia, Wykonawca niezwłocznie dokona uzupełnienia wskazanych braków oraz usunięcia błędów.   </w:t>
      </w:r>
    </w:p>
    <w:p>
      <w:pPr>
        <w:pStyle w:val="Standard"/>
        <w:numPr>
          <w:ilvl w:val="0"/>
          <w:numId w:val="19"/>
        </w:numPr>
        <w:spacing w:lineRule="auto" w:line="276"/>
        <w:ind w:hanging="360" w:start="709"/>
        <w:jc w:val="both"/>
        <w:rPr>
          <w:rFonts w:ascii="Calibri" w:hAnsi="Calibri" w:cs="Calibri"/>
          <w:iCs/>
          <w:sz w:val="22"/>
          <w:szCs w:val="22"/>
        </w:rPr>
      </w:pPr>
      <w:r>
        <w:rPr>
          <w:rFonts w:eastAsia="Calibri" w:cs="Calibri" w:ascii="Calibri" w:hAnsi="Calibri"/>
          <w:sz w:val="22"/>
          <w:szCs w:val="22"/>
          <w:lang w:eastAsia="pl-PL" w:bidi="ar-SA"/>
        </w:rPr>
        <w:t xml:space="preserve">Wykonawca zobowiązuje się wykonać przedmiot umowy zgodnie z dokumentacją projektową, specyfikacją techniczną wykonania i odbioru robót, zasadami wiedzy technicznej, obowiązującymi przepisami szczegółowymi dotyczącymi warunków technicznych wykonania i odbioru robót przy użyciu materiałów własnych, nowych, atestowanych, które są dopuszczone do stosowania w budownictwie, zgodnie z ustawą Prawo budowlane oraz zgodnie z ustawą o wyrobach budowlanych. </w:t>
      </w:r>
      <w:r>
        <w:rPr>
          <w:rFonts w:eastAsia="Calibri" w:cs="Calibri" w:ascii="Calibri" w:hAnsi="Calibri"/>
          <w:iCs/>
          <w:sz w:val="22"/>
          <w:szCs w:val="22"/>
          <w:lang w:eastAsia="pl-PL"/>
        </w:rPr>
        <w:t>Od dnia podpisania protokołu przejęcia od Zamawiającego terenu robót Wykonawca ponosi odpowiedzialność na zasadach ogólnych za szkody wynikłe na tym terenie.</w:t>
      </w:r>
    </w:p>
    <w:p>
      <w:pPr>
        <w:pStyle w:val="ListParagraph"/>
        <w:numPr>
          <w:ilvl w:val="0"/>
          <w:numId w:val="19"/>
        </w:numPr>
        <w:tabs>
          <w:tab w:val="clear" w:pos="709"/>
          <w:tab w:val="left" w:pos="426" w:leader="none"/>
        </w:tabs>
        <w:spacing w:lineRule="auto" w:line="276"/>
        <w:ind w:hanging="360" w:start="709"/>
        <w:jc w:val="both"/>
        <w:rPr>
          <w:rFonts w:ascii="Calibri" w:hAnsi="Calibri" w:cs="Calibri"/>
          <w:sz w:val="22"/>
          <w:szCs w:val="22"/>
        </w:rPr>
      </w:pPr>
      <w:r>
        <w:rPr>
          <w:rFonts w:eastAsia="Calibri" w:cs="Calibri" w:ascii="Calibri" w:hAnsi="Calibri"/>
          <w:sz w:val="22"/>
          <w:szCs w:val="22"/>
        </w:rPr>
        <w:t>Wykonawca zobowiązuje się wykonać i utrzymać zabezpieczenie terenu robót, strzec mienia znajdującego się na terenie robót.</w:t>
      </w:r>
    </w:p>
    <w:p>
      <w:pPr>
        <w:pStyle w:val="ListParagraph"/>
        <w:numPr>
          <w:ilvl w:val="0"/>
          <w:numId w:val="19"/>
        </w:numPr>
        <w:tabs>
          <w:tab w:val="clear" w:pos="709"/>
          <w:tab w:val="left" w:pos="426" w:leader="none"/>
        </w:tabs>
        <w:spacing w:lineRule="auto" w:line="276"/>
        <w:ind w:hanging="360" w:start="709"/>
        <w:jc w:val="both"/>
        <w:rPr>
          <w:rFonts w:ascii="Calibri" w:hAnsi="Calibri" w:cs="Calibri"/>
          <w:sz w:val="22"/>
          <w:szCs w:val="22"/>
        </w:rPr>
      </w:pPr>
      <w:r>
        <w:rPr>
          <w:rFonts w:eastAsia="Calibri" w:cs="Calibri" w:ascii="Calibri" w:hAnsi="Calibri"/>
          <w:sz w:val="22"/>
          <w:szCs w:val="22"/>
        </w:rPr>
        <w:t>Wykonawca zapewni obsługę geodezyjną w zakresie niezbędnym do prawidłowego wykonania robót oraz ich odbioru.</w:t>
      </w:r>
    </w:p>
    <w:p>
      <w:pPr>
        <w:pStyle w:val="ListParagraph"/>
        <w:numPr>
          <w:ilvl w:val="0"/>
          <w:numId w:val="19"/>
        </w:numPr>
        <w:tabs>
          <w:tab w:val="clear" w:pos="709"/>
          <w:tab w:val="left" w:pos="426" w:leader="none"/>
        </w:tabs>
        <w:spacing w:lineRule="auto" w:line="276"/>
        <w:ind w:hanging="360" w:start="709"/>
        <w:jc w:val="both"/>
        <w:rPr>
          <w:rFonts w:ascii="Calibri" w:hAnsi="Calibri" w:cs="Calibri"/>
          <w:sz w:val="22"/>
          <w:szCs w:val="22"/>
        </w:rPr>
      </w:pPr>
      <w:r>
        <w:rPr>
          <w:rFonts w:eastAsia="Calibri" w:cs="Calibri" w:ascii="Calibri" w:hAnsi="Calibri"/>
          <w:sz w:val="22"/>
          <w:szCs w:val="22"/>
        </w:rPr>
        <w:t>Organizacja robót prowadzona będzie zgodnie z wymogami BHP oraz p. poż., a także przepisami dotyczącymi ochrony środowiska naturalnego i bezpieczeństwa.</w:t>
      </w:r>
    </w:p>
    <w:p>
      <w:pPr>
        <w:pStyle w:val="ListParagraph"/>
        <w:numPr>
          <w:ilvl w:val="0"/>
          <w:numId w:val="19"/>
        </w:numPr>
        <w:spacing w:lineRule="auto" w:line="276"/>
        <w:ind w:hanging="360" w:start="709"/>
        <w:jc w:val="both"/>
        <w:rPr>
          <w:rFonts w:ascii="Calibri" w:hAnsi="Calibri" w:cs="Calibri"/>
          <w:sz w:val="22"/>
          <w:szCs w:val="22"/>
        </w:rPr>
      </w:pPr>
      <w:r>
        <w:rPr>
          <w:rFonts w:eastAsia="Calibri" w:cs="Calibri" w:ascii="Calibri" w:hAnsi="Calibri"/>
          <w:sz w:val="22"/>
          <w:szCs w:val="22"/>
        </w:rPr>
        <w:t>Wykonawca na terenie budowy będzie prowadził gospodarkę odpadami. Każdy odpad (masy ziemne, materiały rozbiórkowe) musi być zagospodarowany zgodnie z obowiązującymi przepisami. Wykonawca odpowiedzialny jest za przechowywanie dowodów potwierdzających ich zagospodarowanie.</w:t>
      </w:r>
    </w:p>
    <w:p>
      <w:pPr>
        <w:pStyle w:val="ListParagraph"/>
        <w:numPr>
          <w:ilvl w:val="0"/>
          <w:numId w:val="19"/>
        </w:numPr>
        <w:tabs>
          <w:tab w:val="clear" w:pos="709"/>
          <w:tab w:val="left" w:pos="426" w:leader="none"/>
        </w:tabs>
        <w:spacing w:lineRule="auto" w:line="276"/>
        <w:ind w:hanging="360" w:start="709"/>
        <w:jc w:val="both"/>
        <w:rPr>
          <w:rFonts w:ascii="Calibri" w:hAnsi="Calibri" w:cs="Calibri"/>
          <w:sz w:val="22"/>
          <w:szCs w:val="22"/>
        </w:rPr>
      </w:pPr>
      <w:r>
        <w:rPr>
          <w:rFonts w:eastAsia="Calibri" w:cs="Calibri" w:ascii="Calibri" w:hAnsi="Calibri"/>
          <w:sz w:val="22"/>
          <w:szCs w:val="22"/>
        </w:rPr>
        <w:t>Wykonawca uwzględni wszelkie koszty związane z obsługą nadzoru technicznego uzbrojenia podziemnego i naziemnego, w tym również koszty wyłączeń i włączeń sieci, prób eksploatacyjnych i innych pomiarów, koszty podłączenia mediów i opłaty za media (woda, energia elektryczna itp.) a także koszty dokumentacji przed- i powykonawczej w zakresie niezbędnym do realizacji robót objętych umową z Zamawiającym.</w:t>
      </w:r>
    </w:p>
    <w:p>
      <w:pPr>
        <w:pStyle w:val="ListParagraph"/>
        <w:numPr>
          <w:ilvl w:val="0"/>
          <w:numId w:val="19"/>
        </w:numPr>
        <w:tabs>
          <w:tab w:val="clear" w:pos="709"/>
          <w:tab w:val="left" w:pos="426" w:leader="none"/>
        </w:tabs>
        <w:spacing w:lineRule="auto" w:line="276"/>
        <w:ind w:hanging="360" w:start="709"/>
        <w:jc w:val="both"/>
        <w:rPr>
          <w:rFonts w:ascii="Calibri" w:hAnsi="Calibri" w:cs="Calibri"/>
          <w:sz w:val="22"/>
          <w:szCs w:val="22"/>
        </w:rPr>
      </w:pPr>
      <w:r>
        <w:rPr>
          <w:rFonts w:eastAsia="Calibri" w:cs="Calibri" w:ascii="Calibri" w:hAnsi="Calibri"/>
          <w:sz w:val="22"/>
          <w:szCs w:val="22"/>
        </w:rPr>
        <w:t>Wykonawca uwzględni także inne koszty towarzyszące robotom budowlanym a które nie zostały wymienione w pkt. 6), a konieczność ich poniesienia wynika z przepisów prawa, dokumentacji projektowej, w tym w szczególności z decyzji, warunków, uzgodnień, umów i innych dokumentów będących częścią dokumentacji projektowej.</w:t>
      </w:r>
    </w:p>
    <w:p>
      <w:pPr>
        <w:pStyle w:val="ListParagraph"/>
        <w:numPr>
          <w:ilvl w:val="0"/>
          <w:numId w:val="19"/>
        </w:numPr>
        <w:tabs>
          <w:tab w:val="clear" w:pos="709"/>
          <w:tab w:val="left" w:pos="426" w:leader="none"/>
        </w:tabs>
        <w:spacing w:lineRule="auto" w:line="276"/>
        <w:ind w:hanging="360" w:start="709"/>
        <w:jc w:val="both"/>
        <w:rPr>
          <w:rFonts w:ascii="Calibri" w:hAnsi="Calibri" w:cs="Calibri"/>
          <w:sz w:val="22"/>
          <w:szCs w:val="22"/>
        </w:rPr>
      </w:pPr>
      <w:r>
        <w:rPr>
          <w:rFonts w:eastAsia="Calibri" w:cs="Calibri" w:ascii="Calibri" w:hAnsi="Calibri"/>
          <w:sz w:val="22"/>
          <w:szCs w:val="22"/>
        </w:rPr>
        <w:t>Wykonawca zobowiązuje się przygotować na swój koszt i własnymi siłami wszelkiego rodzaju zawiadomienia, zgłoszenia, inne dokumenty i materiały, których obowiązek przygotowania lub uzyskania został nałożony na Zamawiającego i Wykonawcę w dokumentacji projektowej, w tym w szczególności w decyzjach, warunkach, uzgodnieniach, umowach i innych dokumentach będących częścią dokumentacji projektowej, lub przepisach prawa.</w:t>
      </w:r>
    </w:p>
    <w:p>
      <w:pPr>
        <w:pStyle w:val="ListParagraph"/>
        <w:numPr>
          <w:ilvl w:val="0"/>
          <w:numId w:val="19"/>
        </w:numPr>
        <w:tabs>
          <w:tab w:val="clear" w:pos="709"/>
          <w:tab w:val="left" w:pos="426" w:leader="none"/>
        </w:tabs>
        <w:spacing w:lineRule="auto" w:line="276"/>
        <w:ind w:hanging="360" w:start="709"/>
        <w:jc w:val="both"/>
        <w:rPr>
          <w:rFonts w:ascii="Calibri" w:hAnsi="Calibri" w:cs="Calibri"/>
          <w:sz w:val="22"/>
          <w:szCs w:val="22"/>
        </w:rPr>
      </w:pPr>
      <w:r>
        <w:rPr>
          <w:rFonts w:eastAsia="Calibri" w:cs="Calibri" w:ascii="Calibri" w:hAnsi="Calibri"/>
          <w:sz w:val="22"/>
          <w:szCs w:val="22"/>
        </w:rPr>
        <w:t>Wykonawca wykona projekt czasowej i stałej organizacji ruchu i uzyska jego zatwierdzenie.</w:t>
      </w:r>
    </w:p>
    <w:p>
      <w:pPr>
        <w:pStyle w:val="ListParagraph"/>
        <w:numPr>
          <w:ilvl w:val="0"/>
          <w:numId w:val="19"/>
        </w:numPr>
        <w:tabs>
          <w:tab w:val="clear" w:pos="709"/>
          <w:tab w:val="left" w:pos="426" w:leader="none"/>
        </w:tabs>
        <w:spacing w:lineRule="auto" w:line="276"/>
        <w:ind w:hanging="360" w:start="709"/>
        <w:jc w:val="both"/>
        <w:rPr>
          <w:rFonts w:ascii="Calibri" w:hAnsi="Calibri" w:cs="Calibri"/>
          <w:sz w:val="22"/>
          <w:szCs w:val="22"/>
        </w:rPr>
      </w:pPr>
      <w:r>
        <w:rPr>
          <w:rFonts w:eastAsia="Calibri" w:cs="Calibri" w:ascii="Calibri" w:hAnsi="Calibri"/>
          <w:sz w:val="22"/>
          <w:szCs w:val="22"/>
        </w:rPr>
        <w:t>Wykonawca dokona we właściwym organie Nadzoru Budowlanego zawiadomienia o zamierzonym terminie rozpoczęcia robót budowalnych oraz zawiadomienia o zakończeniu budowy i zamiarze przystąpienia do użytkowania oraz uzyskać zaświadczenie o braku sprzeciwu dot. zakończenia budowy we właściwym organie nadzoru budowlanego.</w:t>
      </w:r>
    </w:p>
    <w:p>
      <w:pPr>
        <w:pStyle w:val="Normal"/>
        <w:numPr>
          <w:ilvl w:val="0"/>
          <w:numId w:val="4"/>
        </w:numPr>
        <w:spacing w:lineRule="auto" w:line="276" w:before="0" w:after="0"/>
        <w:ind w:hanging="360" w:start="709"/>
        <w:jc w:val="both"/>
        <w:rPr>
          <w:rFonts w:ascii="Calibri" w:hAnsi="Calibri" w:cs="Calibri"/>
        </w:rPr>
      </w:pPr>
      <w:r>
        <w:rPr>
          <w:rFonts w:eastAsia="Calibri" w:cs="Calibri" w:ascii="Calibri" w:hAnsi="Calibri"/>
          <w:lang w:eastAsia="pl-PL"/>
        </w:rPr>
        <w:t>Opłaty i kary za przekroczenie w trakcie realizacji robót norm określonych w odpowiednich przepisach dotyczących ochrony środowiska i bezpieczeństwa ruchu poniesie wyłącznie Wykonawca, co oznacza, że nie są uwzględnione w wynagrodzeniu Wykonawcy, o którym mowa w § 2 ust. 1 umowy.</w:t>
      </w:r>
    </w:p>
    <w:p>
      <w:pPr>
        <w:pStyle w:val="Normal"/>
        <w:numPr>
          <w:ilvl w:val="0"/>
          <w:numId w:val="4"/>
        </w:numPr>
        <w:spacing w:lineRule="auto" w:line="276" w:before="0" w:after="0"/>
        <w:ind w:hanging="360" w:start="709"/>
        <w:jc w:val="both"/>
        <w:rPr>
          <w:rFonts w:ascii="Calibri" w:hAnsi="Calibri" w:cs="Calibri"/>
        </w:rPr>
      </w:pPr>
      <w:r>
        <w:rPr>
          <w:rFonts w:eastAsia="Calibri" w:cs="Calibri" w:ascii="Calibri" w:hAnsi="Calibri"/>
          <w:lang w:eastAsia="pl-PL"/>
        </w:rPr>
        <w:t>Wykonawca zobowiązany jest do naprawienia zinwentaryzowanych urządzeń podziemnych uszkodzonych w trakcie prowadzenia prac na własny koszt.</w:t>
      </w:r>
    </w:p>
    <w:p>
      <w:pPr>
        <w:pStyle w:val="Normal"/>
        <w:numPr>
          <w:ilvl w:val="0"/>
          <w:numId w:val="4"/>
        </w:numPr>
        <w:spacing w:lineRule="auto" w:line="276" w:before="0" w:after="0"/>
        <w:ind w:hanging="360" w:start="709"/>
        <w:jc w:val="both"/>
        <w:rPr>
          <w:rFonts w:ascii="Calibri" w:hAnsi="Calibri" w:cs="Calibri"/>
          <w:iCs/>
        </w:rPr>
      </w:pPr>
      <w:r>
        <w:rPr>
          <w:rFonts w:eastAsia="Calibri" w:cs="Calibri" w:ascii="Calibri" w:hAnsi="Calibri"/>
        </w:rPr>
        <w:t xml:space="preserve">Wykonawca zobowiązany jest przed wbudowaniem materiałów o których mowa powyżej uzyskać od Inspektora nadzoru inwestorskiego zatwierdzenie zastosowania tych materiałów, przedkładając próbki oraz okazując dokumenty wymagane ustawą Prawo budowlane. </w:t>
      </w:r>
      <w:r>
        <w:rPr>
          <w:rFonts w:eastAsia="Calibri" w:cs="Calibri" w:ascii="Calibri" w:hAnsi="Calibri"/>
          <w:iCs/>
        </w:rPr>
        <w:t>Wykonawca jest zobowiązany do dostarczenia na każde wezwanie inspektora nadzoru, dokumentów potwierdzających parametry techniczne oraz wymagane normy stosowanych materiałów i urządzeń w tym w szczególności atestów, wyników oraz protokołów badań, sprawozdań i prób dotyczących realizowanego przedmiotu niniejszej umowy (m.in. protokoły zagęszczenia warstw konstrukcyjnych, dokumenty potwierdzające parametry jakościowe oraz techniczne betonu asfaltowego itp.).</w:t>
      </w:r>
    </w:p>
    <w:p>
      <w:pPr>
        <w:pStyle w:val="Quote"/>
        <w:numPr>
          <w:ilvl w:val="0"/>
          <w:numId w:val="4"/>
        </w:numPr>
        <w:tabs>
          <w:tab w:val="clear" w:pos="709"/>
          <w:tab w:val="left" w:pos="567" w:leader="none"/>
        </w:tabs>
        <w:spacing w:before="0" w:after="0"/>
        <w:ind w:hanging="360" w:start="709"/>
        <w:jc w:val="both"/>
        <w:rPr>
          <w:rFonts w:ascii="Calibri" w:hAnsi="Calibri" w:cs="Calibri"/>
          <w:i w:val="false"/>
          <w:color w:val="auto"/>
        </w:rPr>
      </w:pPr>
      <w:r>
        <w:rPr>
          <w:rFonts w:eastAsia="Calibri" w:cs="Calibri" w:ascii="Calibri" w:hAnsi="Calibri"/>
          <w:i w:val="false"/>
          <w:color w:val="auto"/>
        </w:rPr>
        <w:t>Wykonawca jest odpowiedzialny za jakość wykonywanych robót oraz za zgodność realizacji ze specyfikacjami technicznymi wykonania i odbioru robót budowlanych.</w:t>
      </w:r>
    </w:p>
    <w:p>
      <w:pPr>
        <w:pStyle w:val="Quote"/>
        <w:numPr>
          <w:ilvl w:val="0"/>
          <w:numId w:val="4"/>
        </w:numPr>
        <w:tabs>
          <w:tab w:val="clear" w:pos="709"/>
          <w:tab w:val="left" w:pos="567" w:leader="none"/>
        </w:tabs>
        <w:spacing w:before="0" w:after="0"/>
        <w:ind w:hanging="360" w:start="709"/>
        <w:jc w:val="both"/>
        <w:rPr>
          <w:rFonts w:ascii="Calibri" w:hAnsi="Calibri" w:cs="Calibri"/>
          <w:i w:val="false"/>
          <w:color w:val="auto"/>
        </w:rPr>
      </w:pPr>
      <w:r>
        <w:rPr>
          <w:rFonts w:eastAsia="Calibri" w:cs="Calibri" w:ascii="Calibri" w:hAnsi="Calibri"/>
          <w:i w:val="false"/>
          <w:color w:val="auto"/>
        </w:rPr>
        <w:t>Wykonawca ma obowiązek niezwłocznego informowania Zamawiającego o konieczności wykonania robót dodatkowych nie ujętych w przedmiocie zamówienia w terminie do 3 dni od daty stwierdzenia konieczności ich wykonania. Wykonanie tych robót może nastąpić jedynie w przypadku uzyskania pisemnej zgody Zamawiającego na ich wykonanie.</w:t>
      </w:r>
    </w:p>
    <w:p>
      <w:pPr>
        <w:pStyle w:val="Normal"/>
        <w:spacing w:lineRule="auto" w:line="276" w:before="0" w:after="0"/>
        <w:jc w:val="center"/>
        <w:rPr>
          <w:rFonts w:ascii="Calibri" w:hAnsi="Calibri" w:cs="Calibri"/>
          <w:b/>
        </w:rPr>
      </w:pPr>
      <w:r>
        <w:rPr>
          <w:rFonts w:eastAsia="Calibri" w:cs="Calibri" w:ascii="Calibri" w:hAnsi="Calibri"/>
          <w:b/>
          <w:lang w:eastAsia="pl-PL"/>
        </w:rPr>
        <w:t>§7</w:t>
      </w:r>
    </w:p>
    <w:p>
      <w:pPr>
        <w:pStyle w:val="Normal"/>
        <w:spacing w:lineRule="auto" w:line="276" w:before="0" w:after="0"/>
        <w:jc w:val="center"/>
        <w:rPr>
          <w:rFonts w:ascii="Calibri" w:hAnsi="Calibri" w:cs="Calibri"/>
          <w:b/>
        </w:rPr>
      </w:pPr>
      <w:r>
        <w:rPr>
          <w:rFonts w:eastAsia="Calibri" w:cs="Calibri" w:ascii="Calibri" w:hAnsi="Calibri"/>
          <w:b/>
          <w:lang w:eastAsia="pl-PL"/>
        </w:rPr>
        <w:t>Zatrudnienie na umowę o pracę</w:t>
      </w:r>
    </w:p>
    <w:p>
      <w:pPr>
        <w:pStyle w:val="Standard"/>
        <w:numPr>
          <w:ilvl w:val="0"/>
          <w:numId w:val="22"/>
        </w:numPr>
        <w:spacing w:lineRule="auto" w:line="276"/>
        <w:ind w:hanging="426" w:start="426"/>
        <w:jc w:val="both"/>
        <w:rPr>
          <w:rFonts w:ascii="Calibri" w:hAnsi="Calibri" w:cs="Calibri"/>
          <w:sz w:val="22"/>
          <w:szCs w:val="22"/>
        </w:rPr>
      </w:pPr>
      <w:r>
        <w:rPr>
          <w:rFonts w:eastAsia="Calibri" w:cs="Calibri" w:ascii="Calibri" w:hAnsi="Calibri"/>
          <w:sz w:val="22"/>
          <w:szCs w:val="22"/>
          <w:lang w:eastAsia="pl-PL"/>
        </w:rPr>
        <w:t xml:space="preserve">Stosownie do art. 95 ustawy </w:t>
      </w:r>
      <w:r>
        <w:rPr>
          <w:rStyle w:val="markedcontent"/>
          <w:rFonts w:eastAsia="Calibri" w:cs="Calibri" w:ascii="Calibri" w:hAnsi="Calibri"/>
          <w:sz w:val="22"/>
          <w:szCs w:val="22"/>
        </w:rPr>
        <w:t>pzp</w:t>
      </w:r>
      <w:r>
        <w:rPr>
          <w:rFonts w:eastAsia="Calibri" w:cs="Calibri" w:ascii="Calibri" w:hAnsi="Calibri"/>
          <w:sz w:val="22"/>
          <w:szCs w:val="22"/>
          <w:lang w:eastAsia="pl-PL"/>
        </w:rPr>
        <w:t xml:space="preserve"> Zamawiający wymaga, aby przez cały okres realizacji przedmiotowej umowy Wykonawca lub podwykonawca zatrudniał, na podstawie umowy o pracę w rozumieniu przepisów ustawy z dnia 26 czerwca 1974 r. Kodeks pracy (t.j. Dz. U z 2023 r. poz. 1465), osoby wykonujące następujące roboty: </w:t>
      </w:r>
    </w:p>
    <w:p>
      <w:pPr>
        <w:pStyle w:val="Standard"/>
        <w:spacing w:lineRule="auto" w:line="276"/>
        <w:ind w:start="426"/>
        <w:jc w:val="both"/>
        <w:rPr>
          <w:rFonts w:ascii="Calibri" w:hAnsi="Calibri" w:cs="Calibri"/>
          <w:sz w:val="22"/>
          <w:szCs w:val="22"/>
        </w:rPr>
      </w:pPr>
      <w:r>
        <w:rPr>
          <w:rFonts w:eastAsia="Calibri" w:cs="Calibri" w:ascii="Calibri" w:hAnsi="Calibri"/>
          <w:sz w:val="22"/>
          <w:szCs w:val="22"/>
          <w:lang w:eastAsia="pl-PL"/>
        </w:rPr>
        <w:t>- przygotowawcze i ziemne,</w:t>
      </w:r>
    </w:p>
    <w:p>
      <w:pPr>
        <w:pStyle w:val="Standard"/>
        <w:spacing w:lineRule="auto" w:line="276"/>
        <w:ind w:start="426"/>
        <w:jc w:val="both"/>
        <w:rPr>
          <w:rFonts w:ascii="Calibri" w:hAnsi="Calibri" w:cs="Calibri"/>
          <w:sz w:val="22"/>
          <w:szCs w:val="22"/>
        </w:rPr>
      </w:pPr>
      <w:r>
        <w:rPr>
          <w:rFonts w:eastAsia="Calibri" w:cs="Calibri" w:ascii="Calibri" w:hAnsi="Calibri"/>
          <w:sz w:val="22"/>
          <w:szCs w:val="22"/>
          <w:lang w:eastAsia="pl-PL"/>
        </w:rPr>
        <w:t>- bitumiczne i brukarskie</w:t>
      </w:r>
    </w:p>
    <w:p>
      <w:pPr>
        <w:pStyle w:val="Standard"/>
        <w:spacing w:lineRule="auto" w:line="276"/>
        <w:ind w:start="426"/>
        <w:jc w:val="both"/>
        <w:rPr>
          <w:rFonts w:ascii="Calibri" w:hAnsi="Calibri" w:cs="Calibri"/>
          <w:sz w:val="22"/>
          <w:szCs w:val="22"/>
        </w:rPr>
      </w:pPr>
      <w:r>
        <w:rPr>
          <w:rFonts w:eastAsia="Calibri" w:cs="Calibri" w:ascii="Calibri" w:hAnsi="Calibri"/>
          <w:sz w:val="22"/>
          <w:szCs w:val="22"/>
          <w:lang w:eastAsia="pl-PL"/>
        </w:rPr>
        <w:t xml:space="preserve">- zagospodarowania terenu i prac porządkowych. </w:t>
      </w:r>
    </w:p>
    <w:p>
      <w:pPr>
        <w:pStyle w:val="Standard"/>
        <w:numPr>
          <w:ilvl w:val="0"/>
          <w:numId w:val="22"/>
        </w:numPr>
        <w:spacing w:lineRule="auto" w:line="276"/>
        <w:ind w:hanging="426" w:start="426"/>
        <w:jc w:val="both"/>
        <w:rPr>
          <w:rFonts w:ascii="Calibri" w:hAnsi="Calibri" w:cs="Calibri"/>
          <w:sz w:val="22"/>
          <w:szCs w:val="22"/>
        </w:rPr>
      </w:pPr>
      <w:r>
        <w:rPr>
          <w:rFonts w:eastAsia="Calibri" w:cs="Calibri" w:ascii="Calibri" w:hAnsi="Calibri"/>
          <w:sz w:val="22"/>
          <w:szCs w:val="22"/>
          <w:lang w:eastAsia="pl-PL"/>
        </w:rPr>
        <w:t xml:space="preserve">Wykonawca lub Podwykonawca przed podpisaniem umowy przedłoży Zamawiającemu oświadczenie o zatrudnieniu na podstawie umowy o pracę osób, które będą realizować prace przy realizacji zadanie wraz z oświadczeniem, że ww. osoby są zatrudnione na podstawie umowy o pracę w rozumieniu przepisów ustawy z dnia 26 czerwca 1974 r. Kodeks pracy. </w:t>
      </w:r>
    </w:p>
    <w:p>
      <w:pPr>
        <w:pStyle w:val="Standard"/>
        <w:numPr>
          <w:ilvl w:val="0"/>
          <w:numId w:val="22"/>
        </w:numPr>
        <w:spacing w:lineRule="auto" w:line="276"/>
        <w:ind w:hanging="426" w:start="426"/>
        <w:jc w:val="both"/>
        <w:rPr>
          <w:rFonts w:ascii="Calibri" w:hAnsi="Calibri" w:cs="Calibri"/>
          <w:sz w:val="22"/>
          <w:szCs w:val="22"/>
        </w:rPr>
      </w:pPr>
      <w:r>
        <w:rPr>
          <w:rFonts w:eastAsia="Calibri" w:cs="Calibri" w:ascii="Calibri" w:hAnsi="Calibri"/>
          <w:sz w:val="22"/>
          <w:szCs w:val="22"/>
          <w:lang w:eastAsia="pl-PL"/>
        </w:rPr>
        <w:t>Oświadczenie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prace i wymiaru etatu oraz podpis osoby uprawnionej do złożenia oświadczenia w imieniu wykonawcy lub podwykonawcy.</w:t>
      </w:r>
    </w:p>
    <w:p>
      <w:pPr>
        <w:pStyle w:val="Standard"/>
        <w:numPr>
          <w:ilvl w:val="0"/>
          <w:numId w:val="22"/>
        </w:numPr>
        <w:spacing w:lineRule="auto" w:line="276"/>
        <w:ind w:hanging="426" w:start="426"/>
        <w:jc w:val="both"/>
        <w:rPr>
          <w:rFonts w:ascii="Calibri" w:hAnsi="Calibri" w:cs="Calibri"/>
          <w:sz w:val="22"/>
          <w:szCs w:val="22"/>
        </w:rPr>
      </w:pPr>
      <w:r>
        <w:rPr>
          <w:rFonts w:eastAsia="Calibri" w:cs="Calibri" w:ascii="Calibri" w:hAnsi="Calibri"/>
          <w:sz w:val="22"/>
          <w:szCs w:val="22"/>
          <w:lang w:eastAsia="pl-PL"/>
        </w:rPr>
        <w:t>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Zamawiającego.</w:t>
      </w:r>
    </w:p>
    <w:p>
      <w:pPr>
        <w:pStyle w:val="Standard"/>
        <w:numPr>
          <w:ilvl w:val="0"/>
          <w:numId w:val="22"/>
        </w:numPr>
        <w:spacing w:lineRule="auto" w:line="276"/>
        <w:ind w:hanging="426" w:start="426"/>
        <w:jc w:val="both"/>
        <w:rPr>
          <w:rFonts w:ascii="Calibri" w:hAnsi="Calibri" w:cs="Calibri"/>
          <w:sz w:val="22"/>
          <w:szCs w:val="22"/>
        </w:rPr>
      </w:pPr>
      <w:r>
        <w:rPr>
          <w:rFonts w:eastAsia="Calibri" w:cs="Calibri" w:ascii="Calibri" w:hAnsi="Calibri"/>
          <w:sz w:val="22"/>
          <w:szCs w:val="22"/>
          <w:lang w:eastAsia="pl-PL"/>
        </w:rPr>
        <w:t>Wykonawca zobowiązany jest do prowadzenia wszystkich robót budowlanych pod stałym nadzorem osób do tego uprawnionych. Za osoby uprawnione uważa się kierownika budowy lub kierownika robót.</w:t>
      </w:r>
    </w:p>
    <w:p>
      <w:pPr>
        <w:pStyle w:val="Normal"/>
        <w:spacing w:lineRule="auto" w:line="276" w:before="0" w:after="0"/>
        <w:ind w:hanging="431" w:start="431"/>
        <w:jc w:val="center"/>
        <w:rPr>
          <w:rFonts w:ascii="Calibri" w:hAnsi="Calibri" w:cs="Calibri"/>
          <w:b/>
        </w:rPr>
      </w:pPr>
      <w:r>
        <w:rPr>
          <w:rFonts w:eastAsia="Calibri" w:cs="Calibri" w:ascii="Calibri" w:hAnsi="Calibri"/>
          <w:b/>
          <w:lang w:eastAsia="pl-PL"/>
        </w:rPr>
        <w:t>§ 8</w:t>
      </w:r>
    </w:p>
    <w:p>
      <w:pPr>
        <w:pStyle w:val="Normal"/>
        <w:spacing w:lineRule="auto" w:line="276" w:before="0" w:after="0"/>
        <w:ind w:hanging="431" w:start="431"/>
        <w:jc w:val="center"/>
        <w:rPr>
          <w:rFonts w:ascii="Calibri" w:hAnsi="Calibri" w:cs="Calibri"/>
          <w:b/>
        </w:rPr>
      </w:pPr>
      <w:r>
        <w:rPr>
          <w:rFonts w:eastAsia="Calibri" w:cs="Calibri" w:ascii="Calibri" w:hAnsi="Calibri"/>
          <w:b/>
          <w:lang w:eastAsia="pl-PL"/>
        </w:rPr>
        <w:t>Warunki płatności</w:t>
      </w:r>
    </w:p>
    <w:p>
      <w:pPr>
        <w:pStyle w:val="Normal"/>
        <w:numPr>
          <w:ilvl w:val="0"/>
          <w:numId w:val="1"/>
        </w:numPr>
        <w:spacing w:lineRule="auto" w:line="276" w:before="0" w:after="0"/>
        <w:ind w:hanging="426" w:start="426"/>
        <w:jc w:val="both"/>
        <w:rPr>
          <w:rFonts w:ascii="Calibri" w:hAnsi="Calibri" w:cs="Calibri"/>
        </w:rPr>
      </w:pPr>
      <w:r>
        <w:rPr>
          <w:rFonts w:eastAsia="Calibri" w:cs="Calibri" w:ascii="Calibri" w:hAnsi="Calibri"/>
          <w:lang w:eastAsia="pl-PL"/>
        </w:rPr>
        <w:t>Rozliczenie za wykonane roboty będące przedmiotem umowy nastąpi w oparciu o fakturę końcową lub częściową, nie częściej niż 1 raz w miesiącu.</w:t>
      </w:r>
    </w:p>
    <w:p>
      <w:pPr>
        <w:pStyle w:val="Normal"/>
        <w:numPr>
          <w:ilvl w:val="0"/>
          <w:numId w:val="1"/>
        </w:numPr>
        <w:spacing w:lineRule="auto" w:line="276" w:before="0" w:after="0"/>
        <w:ind w:hanging="426" w:start="426"/>
        <w:jc w:val="both"/>
        <w:rPr>
          <w:rFonts w:ascii="Calibri" w:hAnsi="Calibri" w:cs="Calibri"/>
          <w:bCs/>
        </w:rPr>
      </w:pPr>
      <w:r>
        <w:rPr>
          <w:rFonts w:eastAsia="Calibri" w:cs="Calibri" w:ascii="Calibri" w:hAnsi="Calibri"/>
          <w:bCs/>
          <w:lang w:eastAsia="pl-PL"/>
        </w:rPr>
        <w:t>Faktura końcowa</w:t>
      </w:r>
      <w:r>
        <w:rPr>
          <w:rFonts w:eastAsia="Calibri" w:cs="Calibri" w:ascii="Calibri" w:hAnsi="Calibri"/>
          <w:lang w:eastAsia="pl-PL"/>
        </w:rPr>
        <w:t xml:space="preserve"> lub częściowa </w:t>
      </w:r>
      <w:r>
        <w:rPr>
          <w:rFonts w:eastAsia="Calibri" w:cs="Calibri" w:ascii="Calibri" w:hAnsi="Calibri"/>
          <w:bCs/>
          <w:lang w:eastAsia="pl-PL"/>
        </w:rPr>
        <w:t>może zostać złożona do Zamawiającego po:</w:t>
      </w:r>
    </w:p>
    <w:p>
      <w:pPr>
        <w:pStyle w:val="ListParagraph"/>
        <w:numPr>
          <w:ilvl w:val="0"/>
          <w:numId w:val="36"/>
        </w:numPr>
        <w:spacing w:lineRule="auto" w:line="276"/>
        <w:jc w:val="both"/>
        <w:rPr>
          <w:rFonts w:ascii="Calibri" w:hAnsi="Calibri" w:cs="Calibri"/>
          <w:sz w:val="22"/>
          <w:szCs w:val="22"/>
        </w:rPr>
      </w:pPr>
      <w:r>
        <w:rPr>
          <w:rFonts w:eastAsia="Calibri" w:cs="Calibri" w:ascii="Calibri" w:hAnsi="Calibri"/>
          <w:sz w:val="22"/>
          <w:szCs w:val="22"/>
        </w:rPr>
        <w:t xml:space="preserve">Przedłożeniu podpisanego przez kierownika budowy i inspektora nadzoru protokołu odbioru wykonanych robót, który potwierdzi wykonanie robót uwzględnionych w fakturze końcowej. </w:t>
      </w:r>
    </w:p>
    <w:p>
      <w:pPr>
        <w:pStyle w:val="ListParagraph"/>
        <w:numPr>
          <w:ilvl w:val="0"/>
          <w:numId w:val="36"/>
        </w:numPr>
        <w:spacing w:lineRule="auto" w:line="276"/>
        <w:jc w:val="both"/>
        <w:rPr>
          <w:rFonts w:ascii="Calibri" w:hAnsi="Calibri" w:cs="Calibri"/>
          <w:sz w:val="22"/>
          <w:szCs w:val="22"/>
        </w:rPr>
      </w:pPr>
      <w:r>
        <w:rPr>
          <w:rFonts w:eastAsia="Calibri" w:cs="Calibri" w:ascii="Calibri" w:hAnsi="Calibri"/>
          <w:sz w:val="22"/>
          <w:szCs w:val="22"/>
        </w:rPr>
        <w:t>Uzyskaniu przez Wykonawcę zaświadczenia o braku sprzeciwu dot. zakończenia budowy w organie Nadzoru Budowlanego</w:t>
      </w:r>
    </w:p>
    <w:p>
      <w:pPr>
        <w:pStyle w:val="ListParagraph"/>
        <w:numPr>
          <w:ilvl w:val="0"/>
          <w:numId w:val="36"/>
        </w:numPr>
        <w:spacing w:lineRule="auto" w:line="276"/>
        <w:jc w:val="both"/>
        <w:rPr>
          <w:rFonts w:ascii="Calibri" w:hAnsi="Calibri" w:cs="Calibri"/>
          <w:sz w:val="22"/>
          <w:szCs w:val="22"/>
        </w:rPr>
      </w:pPr>
      <w:r>
        <w:rPr>
          <w:rFonts w:eastAsia="Calibri" w:cs="Calibri" w:ascii="Calibri" w:hAnsi="Calibri"/>
          <w:sz w:val="22"/>
          <w:szCs w:val="22"/>
        </w:rPr>
        <w:t xml:space="preserve">Przedstawieniu Zamawiającemu dowodów zapłaty wymagalnego wynagrodzenia Podwykonawcy i dalszym Podwykonawcom, jeśli brali udział w realizacji robót uwzględnionych w fakturze końcowej. </w:t>
      </w:r>
    </w:p>
    <w:p>
      <w:pPr>
        <w:pStyle w:val="ListParagraph"/>
        <w:numPr>
          <w:ilvl w:val="0"/>
          <w:numId w:val="36"/>
        </w:numPr>
        <w:spacing w:lineRule="auto" w:line="276" w:before="0" w:after="58"/>
        <w:jc w:val="both"/>
        <w:rPr>
          <w:rFonts w:ascii="Calibri" w:hAnsi="Calibri" w:cs="Calibri"/>
          <w:sz w:val="22"/>
          <w:szCs w:val="22"/>
        </w:rPr>
      </w:pPr>
      <w:r>
        <w:rPr>
          <w:rFonts w:eastAsia="Calibri" w:cs="Calibri" w:ascii="Calibri" w:hAnsi="Calibri"/>
          <w:sz w:val="22"/>
          <w:szCs w:val="22"/>
        </w:rPr>
        <w:t xml:space="preserve">Przedłożeniu przez kierownika budowy dokumentacji powykonawczej (1 kpl.) zawierającej w szczególności: </w:t>
      </w:r>
    </w:p>
    <w:p>
      <w:pPr>
        <w:pStyle w:val="ListParagraph"/>
        <w:numPr>
          <w:ilvl w:val="1"/>
          <w:numId w:val="3"/>
        </w:numPr>
        <w:spacing w:lineRule="auto" w:line="276"/>
        <w:jc w:val="both"/>
        <w:rPr>
          <w:rFonts w:ascii="Calibri" w:hAnsi="Calibri" w:cs="Calibri"/>
          <w:sz w:val="22"/>
          <w:szCs w:val="22"/>
        </w:rPr>
      </w:pPr>
      <w:r>
        <w:rPr>
          <w:rFonts w:eastAsia="Calibri" w:cs="Calibri" w:ascii="Calibri" w:hAnsi="Calibri"/>
          <w:sz w:val="22"/>
          <w:szCs w:val="22"/>
        </w:rPr>
        <w:t>dokumenty, o których mowa w art. 57 ust. 1, ust. 2 i ust. 3 ustawy Prawo Budowlane w zakresie dotyczącym realizowanego zamówienia, w tym geodezyjna inwentaryzacja powykonawcza w wersji papierowej – 2 kpl., elektronicznej w formacie PDF oraz np. dwg*, dxf*, html*, gml*,</w:t>
      </w:r>
    </w:p>
    <w:p>
      <w:pPr>
        <w:pStyle w:val="ListParagraph"/>
        <w:numPr>
          <w:ilvl w:val="1"/>
          <w:numId w:val="3"/>
        </w:numPr>
        <w:spacing w:lineRule="auto" w:line="276"/>
        <w:jc w:val="both"/>
        <w:rPr>
          <w:rFonts w:ascii="Calibri" w:hAnsi="Calibri" w:cs="Calibri"/>
          <w:sz w:val="22"/>
          <w:szCs w:val="22"/>
        </w:rPr>
      </w:pPr>
      <w:r>
        <w:rPr>
          <w:rFonts w:eastAsia="Calibri" w:cs="Calibri" w:ascii="Calibri" w:hAnsi="Calibri"/>
          <w:sz w:val="22"/>
          <w:szCs w:val="22"/>
        </w:rPr>
        <w:t xml:space="preserve">certyfikaty, atesty, aprobaty techniczne, deklaracje zgodności </w:t>
      </w:r>
    </w:p>
    <w:p>
      <w:pPr>
        <w:pStyle w:val="ListParagraph"/>
        <w:numPr>
          <w:ilvl w:val="0"/>
          <w:numId w:val="36"/>
        </w:numPr>
        <w:spacing w:lineRule="auto" w:line="276"/>
        <w:rPr>
          <w:rFonts w:ascii="Calibri" w:hAnsi="Calibri" w:cs="Calibri"/>
          <w:sz w:val="22"/>
          <w:szCs w:val="22"/>
        </w:rPr>
      </w:pPr>
      <w:r>
        <w:rPr>
          <w:rFonts w:eastAsia="Calibri" w:cs="Calibri" w:ascii="Calibri" w:hAnsi="Calibri"/>
          <w:sz w:val="22"/>
          <w:szCs w:val="22"/>
        </w:rPr>
        <w:t xml:space="preserve">Przeprowadzeniu czynności odbiorowych i podpisaniu protokołu odbioru końcowego przez komisję bez zastrzeżeń. </w:t>
      </w:r>
    </w:p>
    <w:p>
      <w:pPr>
        <w:pStyle w:val="ListParagraph"/>
        <w:numPr>
          <w:ilvl w:val="0"/>
          <w:numId w:val="1"/>
        </w:numPr>
        <w:spacing w:lineRule="auto" w:line="276"/>
        <w:jc w:val="both"/>
        <w:rPr>
          <w:rFonts w:ascii="Calibri" w:hAnsi="Calibri" w:cs="Calibri"/>
          <w:sz w:val="22"/>
          <w:szCs w:val="22"/>
        </w:rPr>
      </w:pPr>
      <w:r>
        <w:rPr>
          <w:rFonts w:eastAsia="Calibri" w:cs="Calibri" w:ascii="Calibri" w:hAnsi="Calibri"/>
          <w:sz w:val="22"/>
          <w:szCs w:val="22"/>
        </w:rPr>
        <w:t>Płatność za fakturę będzie dokonana przelewem z konta Zamawiającego na konto Wykonawcy nr …………………………………………………………. wskazane w fakturze.</w:t>
      </w:r>
    </w:p>
    <w:p>
      <w:pPr>
        <w:pStyle w:val="ListParagraph"/>
        <w:numPr>
          <w:ilvl w:val="0"/>
          <w:numId w:val="1"/>
        </w:numPr>
        <w:spacing w:lineRule="auto" w:line="276"/>
        <w:jc w:val="both"/>
        <w:rPr>
          <w:rFonts w:ascii="Calibri" w:hAnsi="Calibri" w:cs="Calibri"/>
          <w:sz w:val="22"/>
          <w:szCs w:val="22"/>
        </w:rPr>
      </w:pPr>
      <w:r>
        <w:rPr>
          <w:rFonts w:eastAsia="Calibri" w:cs="Calibri" w:ascii="Calibri" w:hAnsi="Calibri"/>
          <w:sz w:val="22"/>
          <w:szCs w:val="22"/>
        </w:rPr>
        <w:t xml:space="preserve">Faktura będzie </w:t>
      </w:r>
      <w:r>
        <w:rPr>
          <w:rFonts w:eastAsia="Calibri" w:cs="Calibri" w:ascii="Calibri" w:hAnsi="Calibri"/>
          <w:b/>
          <w:bCs/>
          <w:sz w:val="22"/>
          <w:szCs w:val="22"/>
        </w:rPr>
        <w:t xml:space="preserve">płatna w ciągu 30 dni </w:t>
      </w:r>
      <w:r>
        <w:rPr>
          <w:rFonts w:eastAsia="Calibri" w:cs="Calibri" w:ascii="Calibri" w:hAnsi="Calibri"/>
          <w:sz w:val="22"/>
          <w:szCs w:val="22"/>
        </w:rPr>
        <w:t>licząc od daty wpływu na dziennik podawczy Zamawiającego prawidłowo wystawionej faktury VAT wraz z wymaganymi dokumentami.  Błędne wystawienie faktury lub brak dokumentów, o których mowa w ust. 2 spowoduje naliczenie ponownego 30 dniowego terminu płatności od momentu wpływu na dziennik podawczy Zamawiającego prawidłowo wystawionej faktury VAT, poprawionych lub brakujących dokumentów w tym dowodów zapłaty wymaganego wynagrodzenia wykonawcy i dalszemu podwykonawcy jeśli brali udział w realizacji robót.</w:t>
      </w:r>
    </w:p>
    <w:p>
      <w:pPr>
        <w:pStyle w:val="ListParagraph"/>
        <w:widowControl w:val="false"/>
        <w:numPr>
          <w:ilvl w:val="0"/>
          <w:numId w:val="1"/>
        </w:numPr>
        <w:tabs>
          <w:tab w:val="clear" w:pos="709"/>
          <w:tab w:val="left" w:pos="1025" w:leader="none"/>
          <w:tab w:val="left" w:pos="1027" w:leader="none"/>
        </w:tabs>
        <w:spacing w:lineRule="auto" w:line="276"/>
        <w:ind w:hanging="360" w:start="360" w:end="-2"/>
        <w:jc w:val="both"/>
        <w:rPr>
          <w:rFonts w:ascii="Calibri" w:hAnsi="Calibri" w:cs="Calibri"/>
          <w:spacing w:val="-4"/>
          <w:sz w:val="22"/>
          <w:szCs w:val="22"/>
        </w:rPr>
      </w:pPr>
      <w:r>
        <w:rPr>
          <w:rFonts w:eastAsia="Calibri" w:cs="Calibri" w:ascii="Calibri" w:hAnsi="Calibri"/>
          <w:spacing w:val="-4"/>
          <w:sz w:val="22"/>
          <w:szCs w:val="22"/>
        </w:rPr>
        <w:t>Wykonawca oświadcza, że wskazany w § 8 ust. 3 niniejszej umowy rachunek bankowy jest rachunkiem związanym z prowadzoną działalnością gospodarczą, dla której bank utworzył rachunek VAT.</w:t>
      </w:r>
    </w:p>
    <w:p>
      <w:pPr>
        <w:pStyle w:val="ListParagraph"/>
        <w:widowControl w:val="false"/>
        <w:numPr>
          <w:ilvl w:val="0"/>
          <w:numId w:val="1"/>
        </w:numPr>
        <w:tabs>
          <w:tab w:val="clear" w:pos="709"/>
          <w:tab w:val="left" w:pos="1025" w:leader="none"/>
          <w:tab w:val="left" w:pos="1027" w:leader="none"/>
        </w:tabs>
        <w:spacing w:lineRule="auto" w:line="276"/>
        <w:ind w:hanging="360" w:start="360" w:end="-2"/>
        <w:jc w:val="both"/>
        <w:rPr>
          <w:rFonts w:ascii="Calibri" w:hAnsi="Calibri" w:cs="Calibri"/>
          <w:spacing w:val="-4"/>
          <w:sz w:val="22"/>
          <w:szCs w:val="22"/>
        </w:rPr>
      </w:pPr>
      <w:r>
        <w:rPr>
          <w:rFonts w:eastAsia="Calibri" w:cs="Calibri" w:ascii="Calibri" w:hAnsi="Calibri"/>
          <w:spacing w:val="-4"/>
          <w:sz w:val="22"/>
          <w:szCs w:val="22"/>
        </w:rPr>
        <w:t>Zmiana rachunku bankowego, o którym mowa w § 8 ust. 3 wymaga zmiany umowy w formie pisemnego aneksu.</w:t>
      </w:r>
    </w:p>
    <w:p>
      <w:pPr>
        <w:pStyle w:val="Normal"/>
        <w:numPr>
          <w:ilvl w:val="0"/>
          <w:numId w:val="1"/>
        </w:numPr>
        <w:spacing w:lineRule="auto" w:line="276" w:before="0" w:after="0"/>
        <w:jc w:val="both"/>
        <w:rPr>
          <w:rFonts w:ascii="Calibri" w:hAnsi="Calibri" w:cs="Calibri"/>
        </w:rPr>
      </w:pPr>
      <w:r>
        <w:rPr>
          <w:rFonts w:eastAsia="Calibri" w:cs="Calibri" w:ascii="Calibri" w:hAnsi="Calibri"/>
        </w:rPr>
        <w:t>W ramach niniejszej umowy faktury należy wystawić na:</w:t>
      </w:r>
    </w:p>
    <w:p>
      <w:pPr>
        <w:pStyle w:val="Normal"/>
        <w:spacing w:lineRule="auto" w:line="276" w:before="0" w:after="0"/>
        <w:ind w:start="397"/>
        <w:jc w:val="both"/>
        <w:rPr>
          <w:rFonts w:ascii="Calibri" w:hAnsi="Calibri" w:cs="Calibri"/>
          <w:bCs/>
        </w:rPr>
      </w:pPr>
      <w:r>
        <w:rPr>
          <w:rFonts w:eastAsia="Calibri" w:cs="Calibri" w:ascii="Calibri" w:hAnsi="Calibri"/>
          <w:bCs/>
        </w:rPr>
        <w:t>Nabywca : Gmina Kunice, ul. Gwarna 1, 59-216 Kunice, NIP 691-21-46-015,</w:t>
      </w:r>
    </w:p>
    <w:p>
      <w:pPr>
        <w:pStyle w:val="Normal"/>
        <w:spacing w:lineRule="auto" w:line="276" w:before="0" w:after="0"/>
        <w:ind w:start="397"/>
        <w:jc w:val="both"/>
        <w:rPr>
          <w:rFonts w:ascii="Calibri" w:hAnsi="Calibri" w:cs="Calibri"/>
          <w:bCs/>
        </w:rPr>
      </w:pPr>
      <w:r>
        <w:rPr>
          <w:rFonts w:eastAsia="Calibri" w:cs="Calibri" w:ascii="Calibri" w:hAnsi="Calibri"/>
          <w:bCs/>
        </w:rPr>
        <w:t>Odbiorca: Urząd Gminy w Kunicach, ul. Gwarna 1, 59-216 Kunice.</w:t>
        <w:br/>
      </w:r>
      <w:r>
        <w:rPr>
          <w:rFonts w:cs="Calibri" w:ascii="Calibri" w:hAnsi="Calibri"/>
          <w:bCs/>
        </w:rPr>
        <w:t xml:space="preserve">Dla prawidłowego doręczenia faktur w KSeF kontrahent zobowiązany jest do wskazania w fakturze ustrukturyzowanej: </w:t>
      </w:r>
    </w:p>
    <w:p>
      <w:pPr>
        <w:pStyle w:val="Normal"/>
        <w:spacing w:lineRule="auto" w:line="276" w:before="0" w:after="0"/>
        <w:ind w:start="397"/>
        <w:jc w:val="both"/>
        <w:rPr>
          <w:rFonts w:ascii="Calibri" w:hAnsi="Calibri" w:cs="Calibri"/>
          <w:bCs/>
        </w:rPr>
      </w:pPr>
      <w:r>
        <w:rPr>
          <w:rFonts w:cs="Calibri" w:ascii="Calibri" w:hAnsi="Calibri"/>
          <w:bCs/>
        </w:rPr>
        <w:t>- Dane nabywcy: NIP: 6912146015  Nazwa: Gmina Kunice  Adres: ul. Gwarna 1 59-216 Kunice</w:t>
      </w:r>
    </w:p>
    <w:p>
      <w:pPr>
        <w:pStyle w:val="Normal"/>
        <w:spacing w:lineRule="auto" w:line="276" w:before="0" w:after="0"/>
        <w:ind w:start="397"/>
        <w:jc w:val="both"/>
        <w:rPr>
          <w:rFonts w:ascii="Calibri" w:hAnsi="Calibri" w:cs="Calibri"/>
          <w:bCs/>
        </w:rPr>
      </w:pPr>
      <w:r>
        <w:rPr>
          <w:rFonts w:cs="Calibri" w:ascii="Calibri" w:hAnsi="Calibri"/>
          <w:bCs/>
        </w:rPr>
        <w:t xml:space="preserve">- w węźle Podmiot2 wartości „1” w polu JST, </w:t>
      </w:r>
    </w:p>
    <w:p>
      <w:pPr>
        <w:pStyle w:val="Normal"/>
        <w:spacing w:lineRule="auto" w:line="276" w:before="0" w:after="0"/>
        <w:ind w:start="397"/>
        <w:jc w:val="both"/>
        <w:rPr>
          <w:rFonts w:ascii="Calibri" w:hAnsi="Calibri" w:cs="Calibri"/>
          <w:bCs/>
        </w:rPr>
      </w:pPr>
      <w:r>
        <w:rPr>
          <w:rFonts w:cs="Calibri" w:ascii="Calibri" w:hAnsi="Calibri"/>
          <w:bCs/>
        </w:rPr>
        <w:t>- w węźle Podmiot3 dane właściwej jednostki organizacyjnej– NIP: 6911137126  Nazwa:  Urząd Gminy w Kunicach  Adres: ul. Gwarna 1 59-216 Kunice oraz wskazanie w polu Rola wartości „8” (oznaczającej rolę: jednostka samorządu terytorialnego – odbiorca).</w:t>
      </w:r>
    </w:p>
    <w:p>
      <w:pPr>
        <w:pStyle w:val="Normal"/>
        <w:spacing w:lineRule="auto" w:line="276" w:before="0" w:after="0"/>
        <w:ind w:start="851"/>
        <w:jc w:val="both"/>
        <w:rPr>
          <w:rFonts w:ascii="Calibri" w:hAnsi="Calibri" w:cs="Calibri"/>
          <w:b/>
        </w:rPr>
      </w:pPr>
      <w:r>
        <w:rPr>
          <w:rFonts w:cs="Calibri" w:ascii="Calibri" w:hAnsi="Calibri"/>
          <w:b/>
        </w:rPr>
      </w:r>
    </w:p>
    <w:p>
      <w:pPr>
        <w:pStyle w:val="ListParagraph"/>
        <w:widowControl w:val="false"/>
        <w:numPr>
          <w:ilvl w:val="0"/>
          <w:numId w:val="1"/>
        </w:numPr>
        <w:tabs>
          <w:tab w:val="clear" w:pos="709"/>
          <w:tab w:val="left" w:pos="1025" w:leader="none"/>
        </w:tabs>
        <w:spacing w:lineRule="auto" w:line="276"/>
        <w:ind w:hanging="360" w:start="360" w:end="-2"/>
        <w:jc w:val="both"/>
        <w:rPr>
          <w:rFonts w:ascii="Calibri" w:hAnsi="Calibri" w:cs="Calibri"/>
          <w:spacing w:val="-4"/>
          <w:sz w:val="22"/>
          <w:szCs w:val="22"/>
        </w:rPr>
      </w:pPr>
      <w:r>
        <w:rPr>
          <w:rFonts w:eastAsia="Calibri" w:cs="Calibri" w:ascii="Calibri" w:hAnsi="Calibri"/>
          <w:spacing w:val="-4"/>
          <w:sz w:val="22"/>
          <w:szCs w:val="22"/>
        </w:rPr>
        <w:t>Zamawiający oświadcza, że jest uprawniony do otrzymania faktur VAT.</w:t>
      </w:r>
    </w:p>
    <w:p>
      <w:pPr>
        <w:pStyle w:val="ListParagraph"/>
        <w:widowControl w:val="false"/>
        <w:numPr>
          <w:ilvl w:val="0"/>
          <w:numId w:val="1"/>
        </w:numPr>
        <w:tabs>
          <w:tab w:val="clear" w:pos="709"/>
          <w:tab w:val="left" w:pos="1025" w:leader="none"/>
          <w:tab w:val="left" w:pos="1027" w:leader="none"/>
          <w:tab w:val="left" w:pos="9739" w:leader="none"/>
        </w:tabs>
        <w:spacing w:lineRule="auto" w:line="276"/>
        <w:ind w:hanging="360" w:start="360" w:end="-2"/>
        <w:jc w:val="both"/>
        <w:rPr>
          <w:rFonts w:ascii="Calibri" w:hAnsi="Calibri" w:cs="Calibri"/>
          <w:spacing w:val="-4"/>
          <w:sz w:val="22"/>
          <w:szCs w:val="22"/>
        </w:rPr>
      </w:pPr>
      <w:r>
        <w:rPr>
          <w:rFonts w:eastAsia="Calibri" w:cs="Calibri" w:ascii="Calibri" w:hAnsi="Calibri"/>
          <w:spacing w:val="-4"/>
          <w:sz w:val="22"/>
          <w:szCs w:val="22"/>
        </w:rPr>
        <w:t>Wykonawca oświadcza, że jest/nie jest czynnym podatnikiem podatku VAT i posiada nr NIP ……………………. oraz zobowiązuje się niezwłocznie zawiadomić Zamawiającego o zmianie tego statusu. W przypadku naruszenia zobowiązania, o którym mowa w zdaniu poprzedzającym, Zamawiający zapłaci Wykonawcy wynagrodzenie w wysokości netto, tj. bez należnego podatku VAT wskazanego w fakturze, na co Wykonawca wyraża zgodę.</w:t>
      </w:r>
    </w:p>
    <w:p>
      <w:pPr>
        <w:pStyle w:val="ListParagraph"/>
        <w:numPr>
          <w:ilvl w:val="0"/>
          <w:numId w:val="1"/>
        </w:numPr>
        <w:spacing w:lineRule="auto" w:line="276" w:before="0" w:after="160"/>
        <w:contextualSpacing/>
        <w:jc w:val="both"/>
        <w:rPr>
          <w:rFonts w:ascii="Calibri" w:hAnsi="Calibri" w:cs="Calibri"/>
          <w:sz w:val="22"/>
          <w:szCs w:val="22"/>
        </w:rPr>
      </w:pPr>
      <w:r>
        <w:rPr>
          <w:rFonts w:eastAsia="Calibri" w:cs="Calibri" w:ascii="Calibri" w:hAnsi="Calibri"/>
          <w:sz w:val="22"/>
          <w:szCs w:val="22"/>
        </w:rPr>
        <w:t>Płatności będą dokonywane z zastosowaniem mechanizmu podzielonej płatności.</w:t>
      </w:r>
    </w:p>
    <w:p>
      <w:pPr>
        <w:pStyle w:val="ListParagraph"/>
        <w:numPr>
          <w:ilvl w:val="0"/>
          <w:numId w:val="1"/>
        </w:numPr>
        <w:spacing w:lineRule="auto" w:line="276" w:before="0" w:after="0"/>
        <w:contextualSpacing/>
        <w:jc w:val="both"/>
        <w:rPr>
          <w:rFonts w:ascii="Calibri" w:hAnsi="Calibri" w:cs="Calibri"/>
          <w:sz w:val="22"/>
          <w:szCs w:val="22"/>
        </w:rPr>
      </w:pPr>
      <w:r>
        <w:rPr>
          <w:rFonts w:eastAsia="Calibri" w:cs="Calibri" w:ascii="Calibri" w:hAnsi="Calibri"/>
          <w:spacing w:val="-4"/>
          <w:sz w:val="22"/>
          <w:szCs w:val="22"/>
        </w:rPr>
        <w:t xml:space="preserve">Zamawiający </w:t>
      </w:r>
      <w:r>
        <w:rPr>
          <w:rFonts w:eastAsia="Calibri" w:cs="Calibri" w:ascii="Calibri" w:hAnsi="Calibri"/>
          <w:sz w:val="22"/>
          <w:szCs w:val="22"/>
        </w:rPr>
        <w:t>informuje, że zgodnie z art. 4 ust. 3 i 4  ustawy z dnia 9 listopada 2018r. o elektronicznym fakturowaniu w zamówieniach publicznych, koncesjach na roboty budowlane lub usługi oraz partnerstwie publiczno-prywatnym (Dz. U. z 2020 r. poz. 1666 z poźn. zm.),  wyłącza stosowanie ustrukturyzowanych faktur elektronicznych oraz innych ustrukturyzowanych dokumentów elektronicznych w ramach niniejszego postepowania.</w:t>
      </w:r>
    </w:p>
    <w:p>
      <w:pPr>
        <w:pStyle w:val="Normal"/>
        <w:numPr>
          <w:ilvl w:val="0"/>
          <w:numId w:val="1"/>
        </w:numPr>
        <w:spacing w:lineRule="auto" w:line="276" w:before="0" w:after="0"/>
        <w:jc w:val="both"/>
        <w:rPr>
          <w:rFonts w:ascii="Calibri" w:hAnsi="Calibri" w:cs="Calibri"/>
        </w:rPr>
      </w:pPr>
      <w:r>
        <w:rPr>
          <w:rFonts w:eastAsia="Calibri" w:cs="Calibri" w:ascii="Calibri" w:hAnsi="Calibri"/>
        </w:rPr>
        <w:t xml:space="preserve">Za nieterminowe płatności faktur, </w:t>
      </w:r>
      <w:r>
        <w:rPr>
          <w:rFonts w:eastAsia="Calibri" w:cs="Calibri" w:ascii="Calibri" w:hAnsi="Calibri"/>
          <w:spacing w:val="-4"/>
        </w:rPr>
        <w:t xml:space="preserve">Wykonawca </w:t>
      </w:r>
      <w:r>
        <w:rPr>
          <w:rFonts w:eastAsia="Calibri" w:cs="Calibri" w:ascii="Calibri" w:hAnsi="Calibri"/>
        </w:rPr>
        <w:t>ma prawo naliczyć odsetki ustawowe.</w:t>
      </w:r>
    </w:p>
    <w:p>
      <w:pPr>
        <w:pStyle w:val="Normal"/>
        <w:numPr>
          <w:ilvl w:val="0"/>
          <w:numId w:val="1"/>
        </w:numPr>
        <w:spacing w:lineRule="auto" w:line="276" w:before="0" w:after="0"/>
        <w:jc w:val="both"/>
        <w:rPr>
          <w:rFonts w:ascii="Calibri" w:hAnsi="Calibri" w:cs="Calibri"/>
        </w:rPr>
      </w:pPr>
      <w:r>
        <w:rPr>
          <w:rFonts w:eastAsia="Calibri" w:cs="Calibri" w:ascii="Calibri" w:hAnsi="Calibri"/>
          <w:spacing w:val="-4"/>
        </w:rPr>
        <w:t xml:space="preserve">Zamawiający </w:t>
      </w:r>
      <w:r>
        <w:rPr>
          <w:rFonts w:eastAsia="Calibri" w:cs="Calibri" w:ascii="Calibri" w:hAnsi="Calibri"/>
        </w:rPr>
        <w:t>informuje, że zgodnie z art. 108a ust 1a ustawy z dnia 11 marca 2004 r o podatku od towarów i usług (Dz. U. z 2024 r. poz. 361 z późn. zm.), płatności za nabyte towary lub usługi wymienione w załączniku nr 15 do ustawy, udokumentowane fakturą, w której kwota należności ogółem stanowi kwotę, o której mowa w art. 19 pkt 2 ustawy z dnia 6 marca 2018 r.- Prawo przedsiębiorców (Dz. U. z 2024 r. poz. 236 z późn. zm.), podatnicy są obowiązani zastosować mechanizm podzielonej płatności.</w:t>
      </w:r>
    </w:p>
    <w:p>
      <w:pPr>
        <w:pStyle w:val="Normal"/>
        <w:numPr>
          <w:ilvl w:val="0"/>
          <w:numId w:val="1"/>
        </w:numPr>
        <w:spacing w:lineRule="auto" w:line="276" w:before="0" w:after="0"/>
        <w:jc w:val="both"/>
        <w:rPr>
          <w:rFonts w:ascii="Calibri" w:hAnsi="Calibri" w:cs="Calibri"/>
        </w:rPr>
      </w:pPr>
      <w:r>
        <w:rPr>
          <w:rFonts w:eastAsia="Calibri" w:cs="Calibri" w:ascii="Calibri" w:hAnsi="Calibri"/>
        </w:rPr>
        <w:t>Wykonawca oświadcza, że wskazany w § 8 ust. 3 rachunek bankowy jest rachunkiem umożliwiającym płatność przy zastosowaniu mechanizmu podzielonej płatności i ujęty jest w wykazie, o którym mowa w art. 96b ust. 2 ustawy o podatku od towarów i usług (Dz. U. z 2024 r. poz. 361 z późn. zm.).</w:t>
      </w:r>
    </w:p>
    <w:p>
      <w:pPr>
        <w:pStyle w:val="Normal"/>
        <w:numPr>
          <w:ilvl w:val="0"/>
          <w:numId w:val="1"/>
        </w:numPr>
        <w:spacing w:lineRule="auto" w:line="276" w:before="0" w:after="0"/>
        <w:jc w:val="both"/>
        <w:rPr>
          <w:rFonts w:ascii="Calibri" w:hAnsi="Calibri" w:cs="Calibri"/>
        </w:rPr>
      </w:pPr>
      <w:r>
        <w:rPr>
          <w:rFonts w:eastAsia="Calibri" w:cs="Calibri" w:ascii="Calibri" w:hAnsi="Calibri"/>
        </w:rPr>
        <w:t>W przypadku gdy rachunek bankowy Wykonawcy nie spełnia warunku określonego § 4 ust 14, opóźnienia w dokonaniu płatności, w terminie określonym w § 8 ust. 4 powstałe wskutek braku możliwości realizacji płatności wynagrodzenia z zastosowaniem mechanizmu podzielonej płatności bądź dokonania płatności na rachunek objęty Wykazem, nie stanowi dla Wykonawcy podstawy do żądania od Zamawiającego jakichkolwiek odsetek, jak również innych roszczeń z tytułu dokonania nieterminowej płatności.</w:t>
      </w:r>
    </w:p>
    <w:p>
      <w:pPr>
        <w:pStyle w:val="Standard"/>
        <w:widowControl w:val="false"/>
        <w:numPr>
          <w:ilvl w:val="0"/>
          <w:numId w:val="1"/>
        </w:numPr>
        <w:shd w:val="clear" w:color="auto" w:fill="FFFFFF"/>
        <w:spacing w:lineRule="auto" w:line="276"/>
        <w:ind w:hanging="360" w:start="360" w:end="29"/>
        <w:jc w:val="both"/>
        <w:rPr>
          <w:rFonts w:ascii="Calibri" w:hAnsi="Calibri" w:cs="Calibri"/>
          <w:sz w:val="22"/>
          <w:szCs w:val="22"/>
        </w:rPr>
      </w:pPr>
      <w:r>
        <w:rPr>
          <w:rFonts w:eastAsia="Calibri" w:cs="Calibri" w:ascii="Calibri" w:hAnsi="Calibri"/>
          <w:sz w:val="22"/>
          <w:szCs w:val="22"/>
        </w:rPr>
        <w:t>Przelew wierzytelności wymaga pisemnej zgody stron pod rygorem nieważności.</w:t>
      </w:r>
    </w:p>
    <w:p>
      <w:pPr>
        <w:pStyle w:val="Standard"/>
        <w:widowControl w:val="false"/>
        <w:numPr>
          <w:ilvl w:val="0"/>
          <w:numId w:val="1"/>
        </w:numPr>
        <w:shd w:val="clear" w:color="auto" w:fill="FFFFFF"/>
        <w:spacing w:lineRule="auto" w:line="276"/>
        <w:ind w:hanging="360" w:start="360" w:end="29"/>
        <w:jc w:val="both"/>
        <w:rPr>
          <w:rFonts w:ascii="Calibri" w:hAnsi="Calibri" w:cs="Calibri"/>
          <w:sz w:val="22"/>
          <w:szCs w:val="22"/>
        </w:rPr>
      </w:pPr>
      <w:r>
        <w:rPr>
          <w:rFonts w:eastAsia="Calibri" w:cs="Calibri" w:ascii="Calibri" w:hAnsi="Calibri"/>
          <w:sz w:val="22"/>
          <w:szCs w:val="22"/>
        </w:rPr>
        <w:t>Miejscem zapłaty jest bank Zamawiającego.</w:t>
      </w:r>
    </w:p>
    <w:p>
      <w:pPr>
        <w:pStyle w:val="Normal"/>
        <w:tabs>
          <w:tab w:val="clear" w:pos="709"/>
          <w:tab w:val="left" w:pos="426" w:leader="none"/>
        </w:tabs>
        <w:spacing w:lineRule="auto" w:line="276" w:before="0" w:after="0"/>
        <w:jc w:val="center"/>
        <w:rPr>
          <w:rFonts w:ascii="Calibri" w:hAnsi="Calibri" w:cs="Calibri"/>
          <w:b/>
        </w:rPr>
      </w:pPr>
      <w:r>
        <w:rPr>
          <w:rFonts w:eastAsia="Calibri" w:cs="Calibri" w:ascii="Calibri" w:hAnsi="Calibri"/>
          <w:b/>
          <w:lang w:eastAsia="pl-PL"/>
        </w:rPr>
        <w:t xml:space="preserve">§ 9 </w:t>
      </w:r>
    </w:p>
    <w:p>
      <w:pPr>
        <w:pStyle w:val="Normal"/>
        <w:tabs>
          <w:tab w:val="clear" w:pos="709"/>
          <w:tab w:val="left" w:pos="426" w:leader="none"/>
        </w:tabs>
        <w:spacing w:lineRule="auto" w:line="276" w:before="0" w:after="0"/>
        <w:jc w:val="center"/>
        <w:rPr>
          <w:rFonts w:ascii="Calibri" w:hAnsi="Calibri" w:cs="Calibri"/>
          <w:b/>
        </w:rPr>
      </w:pPr>
      <w:r>
        <w:rPr>
          <w:rFonts w:eastAsia="Calibri" w:cs="Calibri" w:ascii="Calibri" w:hAnsi="Calibri"/>
          <w:b/>
          <w:lang w:eastAsia="pl-PL"/>
        </w:rPr>
        <w:t xml:space="preserve">Zabezpieczenie należytego wykonania umowy </w:t>
      </w:r>
    </w:p>
    <w:p>
      <w:pPr>
        <w:pStyle w:val="ListParagraph"/>
        <w:numPr>
          <w:ilvl w:val="0"/>
          <w:numId w:val="20"/>
        </w:numPr>
        <w:tabs>
          <w:tab w:val="clear" w:pos="709"/>
          <w:tab w:val="left" w:pos="426" w:leader="none"/>
        </w:tabs>
        <w:spacing w:lineRule="auto" w:line="276"/>
        <w:ind w:hanging="284" w:start="284"/>
        <w:jc w:val="both"/>
        <w:rPr>
          <w:rFonts w:ascii="Calibri" w:hAnsi="Calibri" w:cs="Calibri"/>
          <w:sz w:val="22"/>
          <w:szCs w:val="22"/>
        </w:rPr>
      </w:pPr>
      <w:r>
        <w:rPr>
          <w:rFonts w:eastAsia="Calibri" w:cs="Calibri" w:ascii="Calibri" w:hAnsi="Calibri"/>
          <w:sz w:val="22"/>
          <w:szCs w:val="22"/>
        </w:rPr>
        <w:t>Wykonawca wnosi zabezpieczenie należytego wykonania umowy w wysokości 5 % wartości zamówienia określonego w §1 niniejszej umowy:</w:t>
      </w:r>
    </w:p>
    <w:p>
      <w:pPr>
        <w:pStyle w:val="ListParagraph"/>
        <w:numPr>
          <w:ilvl w:val="0"/>
          <w:numId w:val="20"/>
        </w:numPr>
        <w:tabs>
          <w:tab w:val="clear" w:pos="709"/>
          <w:tab w:val="left" w:pos="426" w:leader="none"/>
        </w:tabs>
        <w:spacing w:lineRule="auto" w:line="276"/>
        <w:ind w:hanging="284" w:start="284"/>
        <w:jc w:val="both"/>
        <w:rPr>
          <w:rFonts w:ascii="Calibri" w:hAnsi="Calibri" w:cs="Calibri"/>
          <w:sz w:val="22"/>
          <w:szCs w:val="22"/>
        </w:rPr>
      </w:pPr>
      <w:r>
        <w:rPr>
          <w:rFonts w:eastAsia="Calibri" w:cs="Calibri" w:ascii="Calibri" w:hAnsi="Calibri"/>
          <w:sz w:val="22"/>
          <w:szCs w:val="22"/>
        </w:rPr>
        <w:t>Zabezpieczenie należytego wykonania umowy, Wykonawca wnosi z ważnością 30 dni ponad termin okresu obowiązywania umowy określony w §4 ust. 4 niniejszej umowy, a w zakresie udzielonej gwarancji i rękojmi, z ważnością 15 dni ponad termin określony w §10 ust. 2 niniejszej umowy. W przypadku konieczności wydłużenia terminu wykonania umowy Wykonawca winien przedłużyć ważność zabezpieczenia należytego wykonania umowy o długość wydłużenia terminu wykonania umowy.</w:t>
      </w:r>
    </w:p>
    <w:p>
      <w:pPr>
        <w:pStyle w:val="ListParagraph"/>
        <w:numPr>
          <w:ilvl w:val="0"/>
          <w:numId w:val="20"/>
        </w:numPr>
        <w:tabs>
          <w:tab w:val="clear" w:pos="709"/>
          <w:tab w:val="left" w:pos="426" w:leader="none"/>
        </w:tabs>
        <w:spacing w:lineRule="auto" w:line="276"/>
        <w:ind w:hanging="284" w:start="284"/>
        <w:jc w:val="both"/>
        <w:rPr>
          <w:rFonts w:ascii="Calibri" w:hAnsi="Calibri" w:cs="Calibri"/>
          <w:sz w:val="22"/>
          <w:szCs w:val="22"/>
        </w:rPr>
      </w:pPr>
      <w:r>
        <w:rPr>
          <w:rFonts w:eastAsia="Calibri" w:cs="Calibri" w:ascii="Calibri" w:hAnsi="Calibri"/>
          <w:sz w:val="22"/>
          <w:szCs w:val="22"/>
        </w:rPr>
        <w:t xml:space="preserve">Zabezpieczenie należytego wykonania umowy zostanie zwrócone lub zwolnione w następujących terminach i wysokościach: </w:t>
      </w:r>
    </w:p>
    <w:p>
      <w:pPr>
        <w:pStyle w:val="ListParagraph"/>
        <w:numPr>
          <w:ilvl w:val="2"/>
          <w:numId w:val="20"/>
        </w:numPr>
        <w:tabs>
          <w:tab w:val="clear" w:pos="709"/>
          <w:tab w:val="left" w:pos="426" w:leader="none"/>
        </w:tabs>
        <w:spacing w:lineRule="auto" w:line="276"/>
        <w:ind w:hanging="284" w:start="567"/>
        <w:jc w:val="both"/>
        <w:rPr>
          <w:rFonts w:ascii="Calibri" w:hAnsi="Calibri" w:cs="Calibri"/>
          <w:sz w:val="22"/>
          <w:szCs w:val="22"/>
        </w:rPr>
      </w:pPr>
      <w:r>
        <w:rPr>
          <w:rFonts w:eastAsia="Calibri" w:cs="Calibri" w:ascii="Calibri" w:hAnsi="Calibri"/>
          <w:sz w:val="22"/>
          <w:szCs w:val="22"/>
        </w:rPr>
        <w:t xml:space="preserve">70% wniesionego zabezpieczenia w terminie 30 dni po ostatecznym odbiorze robót kończącym realizacje zadania, </w:t>
      </w:r>
    </w:p>
    <w:p>
      <w:pPr>
        <w:pStyle w:val="ListParagraph"/>
        <w:numPr>
          <w:ilvl w:val="2"/>
          <w:numId w:val="20"/>
        </w:numPr>
        <w:tabs>
          <w:tab w:val="clear" w:pos="709"/>
          <w:tab w:val="left" w:pos="426" w:leader="none"/>
        </w:tabs>
        <w:spacing w:lineRule="auto" w:line="276"/>
        <w:ind w:hanging="284" w:start="567"/>
        <w:jc w:val="both"/>
        <w:rPr>
          <w:rFonts w:ascii="Calibri" w:hAnsi="Calibri" w:cs="Calibri"/>
          <w:sz w:val="22"/>
          <w:szCs w:val="22"/>
        </w:rPr>
      </w:pPr>
      <w:r>
        <w:rPr>
          <w:rFonts w:eastAsia="Calibri" w:cs="Calibri" w:ascii="Calibri" w:hAnsi="Calibri"/>
          <w:sz w:val="22"/>
          <w:szCs w:val="22"/>
        </w:rPr>
        <w:t xml:space="preserve">30% wniesionego zabezpieczenia w terminie 15 dni po terminie rękojmi za wady lub gwarancji. </w:t>
      </w:r>
    </w:p>
    <w:p>
      <w:pPr>
        <w:pStyle w:val="ListParagraph"/>
        <w:numPr>
          <w:ilvl w:val="0"/>
          <w:numId w:val="20"/>
        </w:numPr>
        <w:tabs>
          <w:tab w:val="clear" w:pos="709"/>
          <w:tab w:val="left" w:pos="426" w:leader="none"/>
        </w:tabs>
        <w:spacing w:lineRule="auto" w:line="276"/>
        <w:ind w:hanging="284" w:start="284"/>
        <w:jc w:val="both"/>
        <w:rPr>
          <w:rFonts w:ascii="Calibri" w:hAnsi="Calibri" w:cs="Calibri"/>
          <w:sz w:val="22"/>
          <w:szCs w:val="22"/>
        </w:rPr>
      </w:pPr>
      <w:r>
        <w:rPr>
          <w:rFonts w:eastAsia="Calibri" w:cs="Calibri" w:ascii="Calibri" w:hAnsi="Calibri"/>
          <w:sz w:val="22"/>
          <w:szCs w:val="22"/>
        </w:rPr>
        <w:t xml:space="preserve">Jeżeli zabezpieczenie zostanie wniesione w formie pieniężnej, zostanie ono zdeponowane na rachunku nr: ……………………………………………………….. a zwrotowi będzie podlegać kwota wniesionego zabezpieczenia wraz z odsetkami wynikającymi z umowy rachunku bankowego, na którym było ono przechowywane, pomniejszone o koszty prowadzenia rachunku oraz prowizji bankowej za przelew pieniędzy na rachunek Wykonawcy. </w:t>
      </w:r>
    </w:p>
    <w:p>
      <w:pPr>
        <w:pStyle w:val="ListParagraph"/>
        <w:numPr>
          <w:ilvl w:val="0"/>
          <w:numId w:val="20"/>
        </w:numPr>
        <w:tabs>
          <w:tab w:val="clear" w:pos="709"/>
          <w:tab w:val="left" w:pos="426" w:leader="none"/>
        </w:tabs>
        <w:spacing w:lineRule="auto" w:line="276"/>
        <w:ind w:hanging="284" w:start="284"/>
        <w:jc w:val="both"/>
        <w:rPr>
          <w:rFonts w:ascii="Calibri" w:hAnsi="Calibri" w:cs="Calibri"/>
          <w:sz w:val="22"/>
          <w:szCs w:val="22"/>
        </w:rPr>
      </w:pPr>
      <w:r>
        <w:rPr>
          <w:rFonts w:eastAsia="Calibri" w:cs="Calibri" w:ascii="Calibri" w:hAnsi="Calibri"/>
          <w:sz w:val="22"/>
          <w:szCs w:val="22"/>
        </w:rPr>
        <w:t>W przypadku, gdy w toku realizacji umowy zajdzie konieczność wydłużenia ustalonego  terminu wykonania przedmiotu niniejszej umowy, Wykonawca zobowiązany będzie przedłożyć zabezpieczenie należytego wykonania umowy przed zawarciem przez strony stosownego aneksu w tym zakresie, tak aby termin jego ważności odpowiadał nowemu wydłużonemu terminowi wykonania przedmiotu niniejszej umowy.</w:t>
      </w:r>
    </w:p>
    <w:p>
      <w:pPr>
        <w:pStyle w:val="Normal"/>
        <w:tabs>
          <w:tab w:val="clear" w:pos="709"/>
          <w:tab w:val="left" w:pos="426" w:leader="none"/>
        </w:tabs>
        <w:spacing w:lineRule="auto" w:line="276"/>
        <w:jc w:val="both"/>
        <w:rPr>
          <w:rFonts w:ascii="Calibri" w:hAnsi="Calibri" w:cs="Calibri"/>
        </w:rPr>
      </w:pPr>
      <w:r>
        <w:rPr>
          <w:rFonts w:cs="Calibri" w:ascii="Calibri" w:hAnsi="Calibri"/>
        </w:rPr>
      </w:r>
    </w:p>
    <w:p>
      <w:pPr>
        <w:pStyle w:val="Normal"/>
        <w:tabs>
          <w:tab w:val="clear" w:pos="709"/>
          <w:tab w:val="left" w:pos="426" w:leader="none"/>
        </w:tabs>
        <w:spacing w:lineRule="auto" w:line="276" w:before="0" w:after="0"/>
        <w:jc w:val="center"/>
        <w:rPr>
          <w:rFonts w:ascii="Calibri" w:hAnsi="Calibri" w:cs="Calibri"/>
          <w:b/>
        </w:rPr>
      </w:pPr>
      <w:r>
        <w:rPr>
          <w:rFonts w:eastAsia="Calibri" w:cs="Calibri" w:ascii="Calibri" w:hAnsi="Calibri"/>
          <w:b/>
          <w:lang w:eastAsia="pl-PL"/>
        </w:rPr>
        <w:t>§ 10</w:t>
      </w:r>
    </w:p>
    <w:p>
      <w:pPr>
        <w:pStyle w:val="Normal"/>
        <w:spacing w:lineRule="auto" w:line="276" w:before="0" w:after="0"/>
        <w:ind w:hanging="431" w:start="431"/>
        <w:jc w:val="center"/>
        <w:rPr>
          <w:rFonts w:ascii="Calibri" w:hAnsi="Calibri" w:cs="Calibri"/>
          <w:b/>
        </w:rPr>
      </w:pPr>
      <w:r>
        <w:rPr>
          <w:rFonts w:eastAsia="Calibri" w:cs="Calibri" w:ascii="Calibri" w:hAnsi="Calibri"/>
          <w:b/>
          <w:lang w:eastAsia="pl-PL"/>
        </w:rPr>
        <w:t>Gwarancja wykonawcy i uprawnienia z tytułu rękojmi</w:t>
      </w:r>
    </w:p>
    <w:p>
      <w:pPr>
        <w:pStyle w:val="Normal"/>
        <w:numPr>
          <w:ilvl w:val="0"/>
          <w:numId w:val="6"/>
        </w:numPr>
        <w:spacing w:lineRule="auto" w:line="276" w:before="0" w:after="0"/>
        <w:jc w:val="both"/>
        <w:rPr>
          <w:rFonts w:ascii="Calibri" w:hAnsi="Calibri" w:cs="Calibri"/>
        </w:rPr>
      </w:pPr>
      <w:r>
        <w:rPr>
          <w:rFonts w:eastAsia="Calibri" w:cs="Calibri" w:ascii="Calibri" w:hAnsi="Calibri"/>
        </w:rPr>
        <w:t xml:space="preserve">Wykonawca udziela Zamawiającemu gwarancji jakości z tytułu wad fizycznych i prawnych na wykonaną dokumentację projektową i roboty budowlane. </w:t>
      </w:r>
    </w:p>
    <w:p>
      <w:pPr>
        <w:pStyle w:val="Normal"/>
        <w:numPr>
          <w:ilvl w:val="0"/>
          <w:numId w:val="6"/>
        </w:numPr>
        <w:spacing w:lineRule="auto" w:line="276" w:before="0" w:after="0"/>
        <w:jc w:val="both"/>
        <w:rPr>
          <w:rFonts w:ascii="Calibri" w:hAnsi="Calibri" w:cs="Calibri"/>
        </w:rPr>
      </w:pPr>
      <w:r>
        <w:rPr>
          <w:rFonts w:eastAsia="Calibri" w:cs="Calibri" w:ascii="Calibri" w:hAnsi="Calibri"/>
        </w:rPr>
        <w:t>Okres gwarancji i rękojmi na wykonane zamówienie wynosi _____ m-cy</w:t>
      </w:r>
    </w:p>
    <w:p>
      <w:pPr>
        <w:pStyle w:val="Standard"/>
        <w:numPr>
          <w:ilvl w:val="0"/>
          <w:numId w:val="6"/>
        </w:numPr>
        <w:spacing w:lineRule="auto" w:line="276"/>
        <w:jc w:val="both"/>
        <w:rPr>
          <w:rFonts w:ascii="Calibri" w:hAnsi="Calibri" w:cs="Calibri"/>
          <w:sz w:val="22"/>
          <w:szCs w:val="22"/>
        </w:rPr>
      </w:pPr>
      <w:r>
        <w:rPr>
          <w:rFonts w:eastAsia="Calibri" w:cs="Calibri" w:ascii="Calibri" w:hAnsi="Calibri" w:eastAsiaTheme="minorHAnsi"/>
          <w:sz w:val="22"/>
          <w:szCs w:val="22"/>
          <w:lang w:eastAsia="en-US" w:bidi="ar-SA"/>
        </w:rPr>
        <w:t>Zamawiający jest zobowiązany powiadomić Wykonawcę o powstałych wadach przedmiotu umowy w ciągu 30 dni od ich ujawnienia, natomiast Wykonawca jest zobowiązany do ich usunięcia w terminie wyznaczonym przez Zamawiającego.</w:t>
      </w:r>
    </w:p>
    <w:p>
      <w:pPr>
        <w:pStyle w:val="Standard"/>
        <w:numPr>
          <w:ilvl w:val="0"/>
          <w:numId w:val="6"/>
        </w:numPr>
        <w:spacing w:lineRule="auto" w:line="276"/>
        <w:jc w:val="both"/>
        <w:rPr>
          <w:rFonts w:ascii="Calibri" w:hAnsi="Calibri" w:cs="Calibri"/>
          <w:sz w:val="22"/>
          <w:szCs w:val="22"/>
        </w:rPr>
      </w:pPr>
      <w:r>
        <w:rPr>
          <w:rFonts w:eastAsia="Calibri" w:cs="Calibri" w:ascii="Calibri" w:hAnsi="Calibri" w:eastAsiaTheme="minorHAnsi"/>
          <w:sz w:val="22"/>
          <w:szCs w:val="22"/>
          <w:lang w:eastAsia="en-US" w:bidi="ar-SA"/>
        </w:rPr>
        <w:t>Wykonawca nie może odmówić usunięcia wad na swój koszt bez względu na wysokość związanych z tym kosztów.</w:t>
      </w:r>
    </w:p>
    <w:p>
      <w:pPr>
        <w:pStyle w:val="Standard"/>
        <w:numPr>
          <w:ilvl w:val="0"/>
          <w:numId w:val="6"/>
        </w:numPr>
        <w:spacing w:lineRule="auto" w:line="276"/>
        <w:jc w:val="both"/>
        <w:rPr>
          <w:rFonts w:ascii="Calibri" w:hAnsi="Calibri" w:cs="Calibri"/>
          <w:sz w:val="22"/>
          <w:szCs w:val="22"/>
        </w:rPr>
      </w:pPr>
      <w:r>
        <w:rPr>
          <w:rFonts w:eastAsia="Calibri" w:cs="Calibri" w:ascii="Calibri" w:hAnsi="Calibri" w:eastAsiaTheme="minorHAnsi"/>
          <w:sz w:val="22"/>
          <w:szCs w:val="22"/>
          <w:lang w:eastAsia="en-US" w:bidi="ar-SA"/>
        </w:rPr>
        <w:t>W przypadku dokonania przez Wykonawcę napraw objętych gwarancją lub rękojmią, terminy ustalone w ust. 2 i 3 niniejszego paragrafu dla elementów naprawionych lub wymienionych biegną na nowo od chwili usunięcia wady.</w:t>
      </w:r>
    </w:p>
    <w:p>
      <w:pPr>
        <w:pStyle w:val="Standard"/>
        <w:numPr>
          <w:ilvl w:val="0"/>
          <w:numId w:val="6"/>
        </w:numPr>
        <w:spacing w:lineRule="auto" w:line="276"/>
        <w:jc w:val="both"/>
        <w:rPr>
          <w:rFonts w:ascii="Calibri" w:hAnsi="Calibri" w:cs="Calibri"/>
          <w:sz w:val="22"/>
          <w:szCs w:val="22"/>
        </w:rPr>
      </w:pPr>
      <w:r>
        <w:rPr>
          <w:rFonts w:eastAsia="Calibri" w:cs="Calibri" w:ascii="Calibri" w:hAnsi="Calibri" w:eastAsiaTheme="minorHAnsi"/>
          <w:sz w:val="22"/>
          <w:szCs w:val="22"/>
          <w:lang w:eastAsia="en-US" w:bidi="ar-SA"/>
        </w:rPr>
        <w:t>Strony przyjmują, że niniejsza umowa zastępuje dokumenty gwarancyjne, jeżeli Wykonawca nie dołączył w chwili odbioru końcowego dodatkowych dokumentów gwarancyjnych. Postanowienia dodatkowych dokumentów gwarancyjnych wystawionych przez Wykonawcę niezgodne z niniejszą umową lub chociażby mniej korzystne dla Zamawiającego nie będą miały zastosowania.</w:t>
      </w:r>
    </w:p>
    <w:p>
      <w:pPr>
        <w:pStyle w:val="Standard"/>
        <w:numPr>
          <w:ilvl w:val="0"/>
          <w:numId w:val="6"/>
        </w:numPr>
        <w:spacing w:lineRule="auto" w:line="276"/>
        <w:jc w:val="both"/>
        <w:rPr>
          <w:rFonts w:ascii="Calibri" w:hAnsi="Calibri" w:cs="Calibri"/>
          <w:sz w:val="22"/>
          <w:szCs w:val="22"/>
        </w:rPr>
      </w:pPr>
      <w:r>
        <w:rPr>
          <w:rFonts w:eastAsia="Calibri" w:cs="Calibri" w:ascii="Calibri" w:hAnsi="Calibri" w:eastAsiaTheme="minorHAnsi"/>
          <w:sz w:val="22"/>
          <w:szCs w:val="22"/>
          <w:lang w:eastAsia="en-US" w:bidi="ar-SA"/>
        </w:rPr>
        <w:t>Wręczenie Zamawiającemu gwarancji producenta, która może zawierać postanowienia odmienne, nie zwalnia Wykonawcy z obowiązków wynikających z niniejszej umowy i udzielonej przez Wykonawcę gwarancji.</w:t>
      </w:r>
    </w:p>
    <w:p>
      <w:pPr>
        <w:pStyle w:val="Standard"/>
        <w:numPr>
          <w:ilvl w:val="0"/>
          <w:numId w:val="6"/>
        </w:numPr>
        <w:spacing w:lineRule="auto" w:line="276"/>
        <w:jc w:val="both"/>
        <w:rPr>
          <w:rFonts w:ascii="Calibri" w:hAnsi="Calibri" w:cs="Calibri"/>
          <w:sz w:val="22"/>
          <w:szCs w:val="22"/>
        </w:rPr>
      </w:pPr>
      <w:r>
        <w:rPr>
          <w:rFonts w:eastAsia="Calibri" w:cs="Calibri" w:ascii="Calibri" w:hAnsi="Calibri" w:eastAsiaTheme="minorHAnsi"/>
          <w:sz w:val="22"/>
          <w:szCs w:val="22"/>
          <w:lang w:eastAsia="en-US" w:bidi="ar-SA"/>
        </w:rPr>
        <w:t>Wykonawca ponosi pełną odpowiedzialność z tytułu gwarancji jakości i rękojmi za wady przedmiotu Umowy. W okresie gwarancji i rękojmi Wykonawca usunie stwierdzone wady na własny koszt. Jeżeli Wykonawca nie usunie wad w terminie wyznaczonym przez Zamawiającego, Zamawiający może usunąć wady we własnym zakresie lub przez stronę trzecią na koszt Wykonawcy - bez utraty praw do gwarancji jakości i rękojmi. W takim przypadku koszty usuwania wad będą pokrywane w pierwszej kolejności z kwoty będącej zabezpieczeniem wykonania umowy.</w:t>
      </w:r>
    </w:p>
    <w:p>
      <w:pPr>
        <w:pStyle w:val="Standard"/>
        <w:numPr>
          <w:ilvl w:val="0"/>
          <w:numId w:val="6"/>
        </w:numPr>
        <w:spacing w:lineRule="auto" w:line="276"/>
        <w:jc w:val="both"/>
        <w:rPr>
          <w:rFonts w:ascii="Calibri" w:hAnsi="Calibri" w:cs="Calibri"/>
          <w:sz w:val="22"/>
          <w:szCs w:val="22"/>
        </w:rPr>
      </w:pPr>
      <w:r>
        <w:rPr>
          <w:rFonts w:eastAsia="Calibri" w:cs="Calibri" w:ascii="Calibri" w:hAnsi="Calibri" w:eastAsiaTheme="minorHAnsi"/>
          <w:sz w:val="22"/>
          <w:szCs w:val="22"/>
          <w:lang w:eastAsia="en-US" w:bidi="ar-SA"/>
        </w:rPr>
        <w:t>W ostatnim miesiącu udzielonej gwarancji Zamawiający wyznaczy Wykonawcy datę pogwarancyjnego odbioru przedmiotu umowy.</w:t>
      </w:r>
    </w:p>
    <w:p>
      <w:pPr>
        <w:pStyle w:val="Standard"/>
        <w:spacing w:lineRule="auto" w:line="276"/>
        <w:ind w:start="360"/>
        <w:jc w:val="both"/>
        <w:rPr>
          <w:rFonts w:ascii="Calibri" w:hAnsi="Calibri" w:cs="Calibri"/>
          <w:sz w:val="22"/>
          <w:szCs w:val="22"/>
        </w:rPr>
      </w:pPr>
      <w:r>
        <w:rPr>
          <w:rFonts w:cs="Calibri" w:ascii="Calibri" w:hAnsi="Calibri"/>
          <w:sz w:val="22"/>
          <w:szCs w:val="22"/>
        </w:rPr>
      </w:r>
    </w:p>
    <w:p>
      <w:pPr>
        <w:pStyle w:val="Normal"/>
        <w:spacing w:lineRule="auto" w:line="276" w:before="0" w:after="0"/>
        <w:ind w:hanging="431" w:start="431"/>
        <w:jc w:val="center"/>
        <w:rPr>
          <w:rFonts w:ascii="Calibri" w:hAnsi="Calibri" w:cs="Calibri"/>
          <w:b/>
        </w:rPr>
      </w:pPr>
      <w:r>
        <w:rPr>
          <w:rFonts w:eastAsia="Calibri" w:cs="Calibri" w:ascii="Calibri" w:hAnsi="Calibri"/>
          <w:b/>
          <w:lang w:eastAsia="pl-PL"/>
        </w:rPr>
        <w:t>§ 11</w:t>
      </w:r>
    </w:p>
    <w:p>
      <w:pPr>
        <w:pStyle w:val="Normal"/>
        <w:spacing w:lineRule="auto" w:line="276" w:before="0" w:after="0"/>
        <w:ind w:hanging="431" w:start="431"/>
        <w:jc w:val="center"/>
        <w:rPr>
          <w:rFonts w:ascii="Calibri" w:hAnsi="Calibri" w:cs="Calibri"/>
          <w:b/>
        </w:rPr>
      </w:pPr>
      <w:r>
        <w:rPr>
          <w:rFonts w:eastAsia="Calibri" w:cs="Calibri" w:ascii="Calibri" w:hAnsi="Calibri"/>
          <w:b/>
          <w:lang w:eastAsia="pl-PL"/>
        </w:rPr>
        <w:t>Kary umowne</w:t>
      </w:r>
    </w:p>
    <w:p>
      <w:pPr>
        <w:pStyle w:val="Normal"/>
        <w:numPr>
          <w:ilvl w:val="0"/>
          <w:numId w:val="7"/>
        </w:numPr>
        <w:tabs>
          <w:tab w:val="clear" w:pos="709"/>
          <w:tab w:val="left" w:pos="426" w:leader="none"/>
        </w:tabs>
        <w:spacing w:lineRule="auto" w:line="276" w:before="0" w:after="0"/>
        <w:ind w:hanging="426" w:start="426"/>
        <w:jc w:val="both"/>
        <w:rPr>
          <w:rFonts w:ascii="Calibri" w:hAnsi="Calibri" w:cs="Calibri"/>
        </w:rPr>
      </w:pPr>
      <w:r>
        <w:rPr>
          <w:rFonts w:eastAsia="Calibri" w:cs="Calibri" w:ascii="Calibri" w:hAnsi="Calibri"/>
          <w:lang w:eastAsia="pl-PL"/>
        </w:rPr>
        <w:t>Strony postanawiają, że podstawową formą odszkodowania są kary umowne.</w:t>
      </w:r>
    </w:p>
    <w:p>
      <w:pPr>
        <w:pStyle w:val="Normal"/>
        <w:numPr>
          <w:ilvl w:val="0"/>
          <w:numId w:val="7"/>
        </w:numPr>
        <w:tabs>
          <w:tab w:val="clear" w:pos="709"/>
          <w:tab w:val="left" w:pos="426" w:leader="none"/>
        </w:tabs>
        <w:spacing w:lineRule="auto" w:line="276" w:before="0" w:after="0"/>
        <w:ind w:hanging="426" w:start="426"/>
        <w:jc w:val="both"/>
        <w:rPr>
          <w:rFonts w:ascii="Calibri" w:hAnsi="Calibri" w:cs="Calibri"/>
        </w:rPr>
      </w:pPr>
      <w:r>
        <w:rPr>
          <w:rFonts w:eastAsia="Calibri" w:cs="Calibri" w:ascii="Calibri" w:hAnsi="Calibri"/>
          <w:lang w:eastAsia="pl-PL"/>
        </w:rPr>
        <w:t xml:space="preserve">Zamawiający zapłaci Wykonawcy karę umowną, za odstąpienie od przedmiotu umowy z przyczyn </w:t>
      </w:r>
      <w:r>
        <w:rPr>
          <w:rFonts w:eastAsia="Calibri" w:cs="Calibri" w:ascii="Calibri" w:hAnsi="Calibri"/>
        </w:rPr>
        <w:t>za które winę ponosi</w:t>
      </w:r>
      <w:r>
        <w:rPr>
          <w:rFonts w:eastAsia="Calibri" w:cs="Calibri" w:ascii="Calibri" w:hAnsi="Calibri"/>
          <w:lang w:eastAsia="pl-PL"/>
        </w:rPr>
        <w:t xml:space="preserve"> Zamawiający w wysokości 10% wynagrodzenia umownego brutto, o którym mowa w  wymienionej w § 2 ust. 1</w:t>
      </w:r>
      <w:r>
        <w:rPr>
          <w:rFonts w:eastAsia="Calibri" w:cs="Calibri" w:ascii="Calibri" w:hAnsi="Calibri"/>
        </w:rPr>
        <w:t xml:space="preserve"> niniejszej umowy. </w:t>
      </w:r>
    </w:p>
    <w:p>
      <w:pPr>
        <w:pStyle w:val="Normal"/>
        <w:numPr>
          <w:ilvl w:val="0"/>
          <w:numId w:val="7"/>
        </w:numPr>
        <w:tabs>
          <w:tab w:val="clear" w:pos="709"/>
          <w:tab w:val="left" w:pos="426" w:leader="none"/>
        </w:tabs>
        <w:spacing w:lineRule="auto" w:line="276" w:before="0" w:after="0"/>
        <w:ind w:hanging="426" w:start="426"/>
        <w:jc w:val="both"/>
        <w:rPr>
          <w:rFonts w:ascii="Calibri" w:hAnsi="Calibri" w:cs="Calibri"/>
        </w:rPr>
      </w:pPr>
      <w:r>
        <w:rPr>
          <w:rFonts w:eastAsia="Calibri" w:cs="Calibri" w:ascii="Calibri" w:hAnsi="Calibri"/>
          <w:lang w:eastAsia="pl-PL"/>
        </w:rPr>
        <w:t>Wykonawca zapłaci Zamawiającemu kary umowne:</w:t>
      </w:r>
    </w:p>
    <w:p>
      <w:pPr>
        <w:pStyle w:val="Standard"/>
        <w:numPr>
          <w:ilvl w:val="0"/>
          <w:numId w:val="8"/>
        </w:numPr>
        <w:spacing w:lineRule="auto" w:line="276"/>
        <w:jc w:val="both"/>
        <w:rPr>
          <w:rFonts w:ascii="Calibri" w:hAnsi="Calibri" w:cs="Calibri"/>
          <w:sz w:val="22"/>
          <w:szCs w:val="22"/>
        </w:rPr>
      </w:pPr>
      <w:r>
        <w:rPr>
          <w:rFonts w:eastAsia="Calibri" w:cs="Calibri" w:ascii="Calibri" w:hAnsi="Calibri"/>
          <w:sz w:val="22"/>
          <w:szCs w:val="22"/>
          <w:lang w:eastAsia="pl-PL"/>
        </w:rPr>
        <w:t>za każdy fakt ujawnienia na terenie budowy podwykonawcy lub dalszego podwykonawcy (jego pracowników lub inne osoby świadczące usługi na jego rzecz) realizującego roboty budowlane bez zastosowania procedury, o której mowa w § 3 w wysokości 0,5% wynagrodzenia umownego brutto, o którym mowa w § 2 ust. 1 niniejszej umowy, w stosunku do każdego ujawnionego podwykonawcy lub dalszego podwykonawcy,</w:t>
      </w:r>
    </w:p>
    <w:p>
      <w:pPr>
        <w:pStyle w:val="Standard"/>
        <w:numPr>
          <w:ilvl w:val="0"/>
          <w:numId w:val="8"/>
        </w:numPr>
        <w:spacing w:lineRule="auto" w:line="276"/>
        <w:jc w:val="both"/>
        <w:rPr>
          <w:rFonts w:ascii="Calibri" w:hAnsi="Calibri" w:cs="Calibri"/>
          <w:sz w:val="22"/>
          <w:szCs w:val="22"/>
        </w:rPr>
      </w:pPr>
      <w:r>
        <w:rPr>
          <w:rFonts w:eastAsia="Calibri" w:cs="Calibri" w:ascii="Calibri" w:hAnsi="Calibri"/>
          <w:sz w:val="22"/>
          <w:szCs w:val="22"/>
          <w:lang w:eastAsia="pl-PL"/>
        </w:rPr>
        <w:t>za</w:t>
      </w:r>
      <w:r>
        <w:rPr>
          <w:rFonts w:eastAsia="Calibri" w:cs="Calibri" w:ascii="Calibri" w:hAnsi="Calibri"/>
          <w:sz w:val="22"/>
          <w:szCs w:val="22"/>
        </w:rPr>
        <w:t xml:space="preserve"> brak zapłaty lub nieterminowej zapłaty wynagrodzenia należnym podwykonawcom lub dalszym podwykonawcom w wysokości 0,5% wynagrodzenia umownego brutto określonego w § 2 ust. 1 niniejszej umowy za każdy stwierdzony przypadek,</w:t>
      </w:r>
    </w:p>
    <w:p>
      <w:pPr>
        <w:pStyle w:val="Standard"/>
        <w:numPr>
          <w:ilvl w:val="0"/>
          <w:numId w:val="8"/>
        </w:numPr>
        <w:spacing w:lineRule="auto" w:line="276"/>
        <w:jc w:val="both"/>
        <w:rPr>
          <w:rFonts w:ascii="Calibri" w:hAnsi="Calibri" w:cs="Calibri"/>
          <w:sz w:val="22"/>
          <w:szCs w:val="22"/>
        </w:rPr>
      </w:pPr>
      <w:r>
        <w:rPr>
          <w:rFonts w:eastAsia="Calibri" w:cs="Calibri" w:ascii="Calibri" w:hAnsi="Calibri"/>
          <w:sz w:val="22"/>
          <w:szCs w:val="22"/>
          <w:lang w:eastAsia="pl-PL"/>
        </w:rPr>
        <w:t>za</w:t>
      </w:r>
      <w:r>
        <w:rPr>
          <w:rFonts w:eastAsia="Calibri" w:cs="Calibri" w:ascii="Calibri" w:hAnsi="Calibri"/>
          <w:sz w:val="22"/>
          <w:szCs w:val="22"/>
        </w:rPr>
        <w:t xml:space="preserve"> nieprzedłożenie do zaakceptowania projektu umowy o podwykonawstwo, której przedmiotem są roboty budowlane, lub projektu jej zmiany w wysokości 0,5% wynagrodzenia umownego  brutto określonego w § 2 ust. 1 niniejszej umowy za każdy stwierdzony przypadek,</w:t>
      </w:r>
    </w:p>
    <w:p>
      <w:pPr>
        <w:pStyle w:val="Standard"/>
        <w:numPr>
          <w:ilvl w:val="0"/>
          <w:numId w:val="8"/>
        </w:numPr>
        <w:spacing w:lineRule="auto" w:line="276"/>
        <w:jc w:val="both"/>
        <w:rPr>
          <w:rFonts w:ascii="Calibri" w:hAnsi="Calibri" w:cs="Calibri"/>
          <w:sz w:val="22"/>
          <w:szCs w:val="22"/>
        </w:rPr>
      </w:pPr>
      <w:r>
        <w:rPr>
          <w:rFonts w:eastAsia="Calibri" w:cs="Calibri" w:ascii="Calibri" w:hAnsi="Calibri"/>
          <w:sz w:val="22"/>
          <w:szCs w:val="22"/>
          <w:lang w:eastAsia="pl-PL"/>
        </w:rPr>
        <w:t>za</w:t>
      </w:r>
      <w:r>
        <w:rPr>
          <w:rFonts w:eastAsia="Calibri" w:cs="Calibri" w:ascii="Calibri" w:hAnsi="Calibri"/>
          <w:sz w:val="22"/>
          <w:szCs w:val="22"/>
        </w:rPr>
        <w:t xml:space="preserve"> nieprzedłożenie poświadczonej za zgodność z oryginałem kopii umowy o podwykonawstwo lub jej zmiany w wysokości 0,5% wynagrodzenia umownego brutto określonego w § 2 ust.1 niniejszej umowy za każdy taki stwierdzony przypadek,</w:t>
      </w:r>
    </w:p>
    <w:p>
      <w:pPr>
        <w:pStyle w:val="Standard"/>
        <w:numPr>
          <w:ilvl w:val="0"/>
          <w:numId w:val="8"/>
        </w:numPr>
        <w:spacing w:lineRule="auto" w:line="276"/>
        <w:jc w:val="both"/>
        <w:rPr>
          <w:rFonts w:ascii="Calibri" w:hAnsi="Calibri" w:cs="Calibri"/>
          <w:sz w:val="22"/>
          <w:szCs w:val="22"/>
        </w:rPr>
      </w:pPr>
      <w:r>
        <w:rPr>
          <w:rFonts w:eastAsia="Calibri" w:cs="Calibri" w:ascii="Calibri" w:hAnsi="Calibri"/>
          <w:sz w:val="22"/>
          <w:szCs w:val="22"/>
          <w:lang w:eastAsia="pl-PL"/>
        </w:rPr>
        <w:t>za</w:t>
      </w:r>
      <w:r>
        <w:rPr>
          <w:rFonts w:eastAsia="Calibri" w:cs="Calibri" w:ascii="Calibri" w:hAnsi="Calibri"/>
          <w:sz w:val="22"/>
          <w:szCs w:val="22"/>
        </w:rPr>
        <w:t xml:space="preserve"> nieprzystąpienie w wyznaczonym terminie do usunięcia wad i usterek stwierdzonych przy odbiorze robót budowlanych lub w okresie gwarancji i rękojmi, w wysokości 0,5% wynagrodzenia umownego brutto, określonego w § 2 ust. 1 niniejszej umowy za każdy taki przypadek,</w:t>
      </w:r>
    </w:p>
    <w:p>
      <w:pPr>
        <w:pStyle w:val="Standard"/>
        <w:numPr>
          <w:ilvl w:val="0"/>
          <w:numId w:val="8"/>
        </w:numPr>
        <w:spacing w:lineRule="auto" w:line="276"/>
        <w:jc w:val="both"/>
        <w:rPr>
          <w:rFonts w:ascii="Calibri" w:hAnsi="Calibri" w:cs="Calibri"/>
          <w:sz w:val="22"/>
          <w:szCs w:val="22"/>
        </w:rPr>
      </w:pPr>
      <w:r>
        <w:rPr>
          <w:rFonts w:eastAsia="Calibri" w:cs="Calibri" w:ascii="Calibri" w:hAnsi="Calibri"/>
          <w:sz w:val="22"/>
          <w:szCs w:val="22"/>
          <w:lang w:eastAsia="pl-PL"/>
        </w:rPr>
        <w:t>za</w:t>
      </w:r>
      <w:r>
        <w:rPr>
          <w:rFonts w:eastAsia="Calibri" w:cs="Calibri" w:ascii="Calibri" w:hAnsi="Calibri"/>
          <w:sz w:val="22"/>
          <w:szCs w:val="22"/>
        </w:rPr>
        <w:t xml:space="preserve"> odstąpienie od umowy przez Zamawiającego z przyczyn, za które ponosi odpowiedzialność Wykonawca w wysokości 10% wynagrodzenia umownego brutto określonego w § 2 ust. 1 niniejszej umowy,</w:t>
      </w:r>
    </w:p>
    <w:p>
      <w:pPr>
        <w:pStyle w:val="Standard"/>
        <w:numPr>
          <w:ilvl w:val="0"/>
          <w:numId w:val="8"/>
        </w:numPr>
        <w:spacing w:lineRule="auto" w:line="276"/>
        <w:jc w:val="both"/>
        <w:rPr>
          <w:rFonts w:ascii="Calibri" w:hAnsi="Calibri" w:cs="Calibri"/>
          <w:sz w:val="22"/>
          <w:szCs w:val="22"/>
        </w:rPr>
      </w:pPr>
      <w:r>
        <w:rPr>
          <w:rFonts w:eastAsia="Calibri" w:cs="Calibri" w:ascii="Calibri" w:hAnsi="Calibri"/>
          <w:sz w:val="22"/>
          <w:szCs w:val="22"/>
          <w:lang w:eastAsia="pl-PL"/>
        </w:rPr>
        <w:t>za</w:t>
      </w:r>
      <w:r>
        <w:rPr>
          <w:rFonts w:eastAsia="Calibri" w:cs="Calibri" w:ascii="Calibri" w:hAnsi="Calibri"/>
          <w:sz w:val="22"/>
          <w:szCs w:val="22"/>
        </w:rPr>
        <w:t xml:space="preserve"> każdorazowy brak nadzoru nad prowadzonymi robotami budowlanymi w wysokości</w:t>
        <w:br/>
        <w:t>0,1% wynagrodzenia umownego brutto określonego w § 2 ust. 1 niniejszej umowy, za każdy taki stwierdzony przypadek,</w:t>
      </w:r>
    </w:p>
    <w:p>
      <w:pPr>
        <w:pStyle w:val="Standard"/>
        <w:numPr>
          <w:ilvl w:val="0"/>
          <w:numId w:val="8"/>
        </w:numPr>
        <w:spacing w:lineRule="auto" w:line="276"/>
        <w:jc w:val="both"/>
        <w:rPr>
          <w:rFonts w:ascii="Calibri" w:hAnsi="Calibri" w:cs="Calibri"/>
          <w:sz w:val="22"/>
          <w:szCs w:val="22"/>
        </w:rPr>
      </w:pPr>
      <w:r>
        <w:rPr>
          <w:rFonts w:eastAsia="Calibri" w:cs="Calibri" w:ascii="Calibri" w:hAnsi="Calibri"/>
          <w:sz w:val="22"/>
          <w:szCs w:val="22"/>
          <w:lang w:eastAsia="pl-PL"/>
        </w:rPr>
        <w:t>za niedostarczenie dokumentów, o których mowa w § 7 niniejszej umowy</w:t>
        <w:br/>
        <w:t>w wyznaczonym przez Zamawiającego terminie w wysokości 0,5%  wynagrodzenia umownego brutto określonego w § 2 ust. 1 za każdy taki stwierdzony przypadek,</w:t>
      </w:r>
    </w:p>
    <w:p>
      <w:pPr>
        <w:pStyle w:val="Standard"/>
        <w:numPr>
          <w:ilvl w:val="0"/>
          <w:numId w:val="8"/>
        </w:numPr>
        <w:spacing w:lineRule="auto" w:line="276"/>
        <w:jc w:val="both"/>
        <w:rPr>
          <w:rFonts w:ascii="Calibri" w:hAnsi="Calibri" w:cs="Calibri"/>
          <w:sz w:val="22"/>
          <w:szCs w:val="22"/>
        </w:rPr>
      </w:pPr>
      <w:r>
        <w:rPr>
          <w:rFonts w:eastAsia="Calibri" w:cs="Calibri" w:ascii="Calibri" w:hAnsi="Calibri"/>
          <w:sz w:val="22"/>
          <w:szCs w:val="22"/>
          <w:lang w:eastAsia="pl-PL"/>
        </w:rPr>
        <w:t>za</w:t>
      </w:r>
      <w:r>
        <w:rPr>
          <w:rFonts w:eastAsia="Calibri" w:cs="Calibri" w:ascii="Calibri" w:hAnsi="Calibri"/>
          <w:sz w:val="22"/>
          <w:szCs w:val="22"/>
        </w:rPr>
        <w:t xml:space="preserve"> zwłokę w wykonaniu przedmiotu umowy w wysokości 0,2% wynagrodzenia umownego brutto, o którym mowa w § 2 ust. 1 niniejszej umowy, za każdy dzień zwłoki,</w:t>
      </w:r>
    </w:p>
    <w:p>
      <w:pPr>
        <w:pStyle w:val="Normal"/>
        <w:numPr>
          <w:ilvl w:val="0"/>
          <w:numId w:val="7"/>
        </w:numPr>
        <w:tabs>
          <w:tab w:val="clear" w:pos="709"/>
          <w:tab w:val="left" w:pos="426" w:leader="none"/>
        </w:tabs>
        <w:spacing w:lineRule="auto" w:line="276" w:before="0" w:after="0"/>
        <w:ind w:hanging="426" w:start="426"/>
        <w:jc w:val="both"/>
        <w:rPr>
          <w:rFonts w:ascii="Calibri" w:hAnsi="Calibri" w:cs="Calibri"/>
        </w:rPr>
      </w:pPr>
      <w:r>
        <w:rPr>
          <w:rFonts w:eastAsia="Calibri" w:cs="Calibri" w:ascii="Calibri" w:hAnsi="Calibri"/>
          <w:lang w:eastAsia="pl-PL"/>
        </w:rPr>
        <w:t>Łączna maksymalna wysokość kar umownych, których mogą dochodzić strony wynosi 30 %</w:t>
        <w:br/>
        <w:t>wartości brutto zamówienia, określonego w § 2 ust. 1.</w:t>
      </w:r>
    </w:p>
    <w:p>
      <w:pPr>
        <w:pStyle w:val="ListParagraph"/>
        <w:widowControl w:val="false"/>
        <w:numPr>
          <w:ilvl w:val="0"/>
          <w:numId w:val="7"/>
        </w:numPr>
        <w:tabs>
          <w:tab w:val="clear" w:pos="709"/>
          <w:tab w:val="left" w:pos="1025" w:leader="none"/>
          <w:tab w:val="left" w:pos="1027" w:leader="none"/>
        </w:tabs>
        <w:spacing w:lineRule="auto" w:line="276"/>
        <w:ind w:hanging="426" w:start="426" w:end="-2"/>
        <w:jc w:val="both"/>
        <w:rPr>
          <w:rFonts w:ascii="Calibri" w:hAnsi="Calibri" w:cs="Calibri"/>
          <w:spacing w:val="-4"/>
          <w:sz w:val="22"/>
          <w:szCs w:val="22"/>
        </w:rPr>
      </w:pPr>
      <w:r>
        <w:rPr>
          <w:rFonts w:eastAsia="Calibri" w:cs="Calibri" w:ascii="Calibri" w:hAnsi="Calibri"/>
          <w:spacing w:val="-4"/>
          <w:sz w:val="22"/>
          <w:szCs w:val="22"/>
        </w:rPr>
        <w:t>Strony zastrzegają sobie prawo dochodzenia odszkodowania przenoszącego wysokość zastrzeżonych kar umownych.</w:t>
      </w:r>
    </w:p>
    <w:p>
      <w:pPr>
        <w:pStyle w:val="Quote"/>
        <w:numPr>
          <w:ilvl w:val="0"/>
          <w:numId w:val="7"/>
        </w:numPr>
        <w:tabs>
          <w:tab w:val="clear" w:pos="709"/>
          <w:tab w:val="left" w:pos="567" w:leader="none"/>
        </w:tabs>
        <w:spacing w:before="0" w:after="0"/>
        <w:ind w:hanging="426" w:start="426"/>
        <w:jc w:val="both"/>
        <w:rPr>
          <w:rFonts w:ascii="Calibri" w:hAnsi="Calibri" w:cs="Calibri"/>
          <w:i w:val="false"/>
          <w:color w:val="auto"/>
        </w:rPr>
      </w:pPr>
      <w:r>
        <w:rPr>
          <w:rFonts w:eastAsia="Calibri" w:cs="Calibri" w:ascii="Calibri" w:hAnsi="Calibri"/>
          <w:i w:val="false"/>
          <w:color w:val="auto"/>
        </w:rPr>
        <w:t>Wykonawca zobowiązany jest do zapłaty kar umownych w terminie 7 dni od daty poinformowania go o ich naliczeniu.</w:t>
      </w:r>
    </w:p>
    <w:p>
      <w:pPr>
        <w:pStyle w:val="Quote"/>
        <w:numPr>
          <w:ilvl w:val="0"/>
          <w:numId w:val="7"/>
        </w:numPr>
        <w:tabs>
          <w:tab w:val="clear" w:pos="709"/>
          <w:tab w:val="left" w:pos="567" w:leader="none"/>
        </w:tabs>
        <w:spacing w:before="0" w:after="0"/>
        <w:ind w:hanging="426" w:start="426"/>
        <w:jc w:val="both"/>
        <w:rPr>
          <w:rFonts w:ascii="Calibri" w:hAnsi="Calibri" w:eastAsia="Calibri" w:cs="Calibri"/>
          <w:i w:val="false"/>
          <w:color w:val="auto"/>
        </w:rPr>
      </w:pPr>
      <w:r>
        <w:rPr>
          <w:rFonts w:eastAsia="Calibri" w:cs="Calibri" w:ascii="Calibri" w:hAnsi="Calibri"/>
          <w:i w:val="false"/>
          <w:color w:val="auto"/>
        </w:rPr>
        <w:t>Kary umowne należne Zamawiającemu mogą zostać potrącone z wynagrodzenia Wykonawcy na podstawie przedłożonego mu oświadczenia Zamawiającego, w terminie 7 dni od jego doręczenia, na co Wykonawca wyraża zgodę.</w:t>
      </w:r>
    </w:p>
    <w:p>
      <w:pPr>
        <w:pStyle w:val="Normal"/>
        <w:rPr/>
      </w:pPr>
      <w:r>
        <w:rPr/>
      </w:r>
    </w:p>
    <w:p>
      <w:pPr>
        <w:pStyle w:val="Normal"/>
        <w:spacing w:lineRule="auto" w:line="276" w:before="0" w:after="0"/>
        <w:ind w:hanging="431" w:start="431"/>
        <w:jc w:val="center"/>
        <w:rPr>
          <w:rFonts w:ascii="Calibri" w:hAnsi="Calibri" w:cs="Calibri"/>
          <w:b/>
        </w:rPr>
      </w:pPr>
      <w:r>
        <w:rPr>
          <w:rFonts w:eastAsia="Calibri" w:cs="Calibri" w:ascii="Calibri" w:hAnsi="Calibri"/>
          <w:b/>
          <w:lang w:eastAsia="pl-PL"/>
        </w:rPr>
        <w:t>§ 12</w:t>
      </w:r>
    </w:p>
    <w:p>
      <w:pPr>
        <w:pStyle w:val="Normal"/>
        <w:spacing w:lineRule="auto" w:line="276" w:before="0" w:after="0"/>
        <w:ind w:hanging="431" w:start="431"/>
        <w:jc w:val="center"/>
        <w:rPr>
          <w:rFonts w:ascii="Calibri" w:hAnsi="Calibri" w:cs="Calibri"/>
          <w:b/>
        </w:rPr>
      </w:pPr>
      <w:r>
        <w:rPr>
          <w:rFonts w:eastAsia="Calibri" w:cs="Calibri" w:ascii="Calibri" w:hAnsi="Calibri"/>
          <w:b/>
          <w:lang w:eastAsia="pl-PL"/>
        </w:rPr>
        <w:t>Odbiory</w:t>
      </w:r>
    </w:p>
    <w:p>
      <w:pPr>
        <w:pStyle w:val="Normal"/>
        <w:widowControl w:val="false"/>
        <w:numPr>
          <w:ilvl w:val="0"/>
          <w:numId w:val="38"/>
        </w:numPr>
        <w:spacing w:lineRule="auto" w:line="276" w:before="0" w:after="0"/>
        <w:ind w:hanging="340" w:start="340"/>
        <w:jc w:val="both"/>
        <w:rPr>
          <w:rFonts w:ascii="Calibri" w:hAnsi="Calibri" w:cs="Calibri"/>
        </w:rPr>
      </w:pPr>
      <w:r>
        <w:rPr>
          <w:rFonts w:eastAsia="Calibri" w:cs="Calibri" w:ascii="Calibri" w:hAnsi="Calibri"/>
          <w:lang w:eastAsia="pl-PL" w:bidi="hi-IN"/>
        </w:rPr>
        <w:t>Ustala się następujące rodzaje odbiorów:</w:t>
      </w:r>
    </w:p>
    <w:p>
      <w:pPr>
        <w:pStyle w:val="Normal"/>
        <w:widowControl w:val="false"/>
        <w:numPr>
          <w:ilvl w:val="0"/>
          <w:numId w:val="39"/>
        </w:numPr>
        <w:spacing w:lineRule="auto" w:line="276" w:before="0" w:after="0"/>
        <w:ind w:hanging="340" w:start="680"/>
        <w:jc w:val="both"/>
        <w:rPr>
          <w:rFonts w:ascii="Calibri" w:hAnsi="Calibri" w:cs="Calibri"/>
        </w:rPr>
      </w:pPr>
      <w:r>
        <w:rPr>
          <w:rFonts w:eastAsia="Calibri" w:cs="Calibri" w:ascii="Calibri" w:hAnsi="Calibri"/>
          <w:lang w:eastAsia="pl-PL" w:bidi="hi-IN"/>
        </w:rPr>
        <w:t>robót zanikających lub ulegających zakryciu, polegających na ocenie ilości i jakości robót, których ocena nie byłaby możliwa w toku dalszej realizacji przedmiotu umowy,</w:t>
      </w:r>
    </w:p>
    <w:p>
      <w:pPr>
        <w:pStyle w:val="Normal"/>
        <w:widowControl w:val="false"/>
        <w:numPr>
          <w:ilvl w:val="0"/>
          <w:numId w:val="39"/>
        </w:numPr>
        <w:spacing w:lineRule="auto" w:line="276" w:before="0" w:after="0"/>
        <w:ind w:hanging="340" w:start="680"/>
        <w:jc w:val="both"/>
        <w:rPr>
          <w:rFonts w:ascii="Calibri" w:hAnsi="Calibri" w:cs="Calibri"/>
        </w:rPr>
      </w:pPr>
      <w:r>
        <w:rPr>
          <w:rFonts w:eastAsia="Calibri" w:cs="Calibri" w:ascii="Calibri" w:hAnsi="Calibri"/>
          <w:lang w:eastAsia="pl-PL" w:bidi="hi-IN"/>
        </w:rPr>
        <w:t>końcowego dotyczącego wykonania całości przedmiotu umowy,</w:t>
      </w:r>
    </w:p>
    <w:p>
      <w:pPr>
        <w:pStyle w:val="Quote"/>
        <w:numPr>
          <w:ilvl w:val="0"/>
          <w:numId w:val="38"/>
        </w:numPr>
        <w:tabs>
          <w:tab w:val="clear" w:pos="709"/>
          <w:tab w:val="left" w:pos="567" w:leader="none"/>
        </w:tabs>
        <w:spacing w:before="0" w:after="0"/>
        <w:ind w:hanging="426" w:start="426"/>
        <w:jc w:val="both"/>
        <w:rPr>
          <w:rFonts w:ascii="Calibri" w:hAnsi="Calibri" w:cs="Calibri"/>
          <w:i w:val="false"/>
          <w:color w:val="auto"/>
        </w:rPr>
      </w:pPr>
      <w:r>
        <w:rPr>
          <w:rFonts w:eastAsia="Calibri" w:cs="Calibri" w:ascii="Calibri" w:hAnsi="Calibri"/>
          <w:i w:val="false"/>
          <w:color w:val="auto"/>
        </w:rPr>
        <w:t>Odbiorów robót zanikających i ulegających zakryciu może dokonywać w imieniu Zamawiającego Inspektor nadzoru inwestorskiego.</w:t>
      </w:r>
    </w:p>
    <w:p>
      <w:pPr>
        <w:pStyle w:val="Quote"/>
        <w:numPr>
          <w:ilvl w:val="0"/>
          <w:numId w:val="38"/>
        </w:numPr>
        <w:tabs>
          <w:tab w:val="clear" w:pos="709"/>
          <w:tab w:val="left" w:pos="567" w:leader="none"/>
        </w:tabs>
        <w:spacing w:before="0" w:after="0"/>
        <w:ind w:hanging="426" w:start="426"/>
        <w:jc w:val="both"/>
        <w:rPr>
          <w:rFonts w:ascii="Calibri" w:hAnsi="Calibri" w:cs="Calibri"/>
          <w:i w:val="false"/>
          <w:color w:val="auto"/>
        </w:rPr>
      </w:pPr>
      <w:r>
        <w:rPr>
          <w:rFonts w:eastAsia="Calibri" w:cs="Calibri" w:ascii="Calibri" w:hAnsi="Calibri"/>
          <w:i w:val="false"/>
          <w:color w:val="auto"/>
        </w:rPr>
        <w:t>Wykonawca nie jest uprawniony do zakrycia wykonanej roboty budowlanej bez uprzedniej zgody inspektora nadzoru inwestorskiego (przedstawiciela Zamawiającego). Wykonawca, ma obowiązek umożliwić inspektorowi nadzoru inwestorskiego (przedstawicielowi Zamawiającego) sprawdzenie każdej roboty budowlanej zanikającej lub która ulega zakryciu.</w:t>
      </w:r>
    </w:p>
    <w:p>
      <w:pPr>
        <w:pStyle w:val="Quote"/>
        <w:numPr>
          <w:ilvl w:val="0"/>
          <w:numId w:val="38"/>
        </w:numPr>
        <w:tabs>
          <w:tab w:val="clear" w:pos="709"/>
          <w:tab w:val="left" w:pos="567" w:leader="none"/>
        </w:tabs>
        <w:spacing w:before="0" w:after="0"/>
        <w:ind w:hanging="426" w:start="426"/>
        <w:jc w:val="both"/>
        <w:rPr>
          <w:rFonts w:ascii="Calibri" w:hAnsi="Calibri" w:cs="Calibri"/>
          <w:i w:val="false"/>
          <w:color w:val="auto"/>
        </w:rPr>
      </w:pPr>
      <w:r>
        <w:rPr>
          <w:rFonts w:eastAsia="Calibri" w:cs="Calibri" w:ascii="Calibri" w:hAnsi="Calibri"/>
          <w:i w:val="false"/>
          <w:color w:val="auto"/>
        </w:rPr>
        <w:t>Wykonawca zgłasza gotowość do odbioru robót zanikających i ulegających zakryciu pisemnie i jednocześnie zawiadamia o tej gotowości inspektora nadzoru inwestorskiego. Inspektor nadzoru inwestorskiego zobowiązany jest dokonać odbioru zgłoszonych przez Wykonawcę robót zanikających i ulegających zakryciu niezwłocznie, nie później jednak niż 3 dni roboczych od daty zgłoszenia gotowości do odbioru i potwierdza odbiór robót Protokołem odbioru robót zanikających i ulegających zakryciu. Jeżeli Zamawiający (Inspektor nadzoru inwestorskiego) uzna odbiór robót zanikających lub ulegających zakryciu za zbędny, jest zobowiązany powiadomić o tym Wykonawcę niezwłocznie, nie później niż w terminie określonym w zdaniu poprzedzającym.</w:t>
      </w:r>
    </w:p>
    <w:p>
      <w:pPr>
        <w:pStyle w:val="Quote"/>
        <w:numPr>
          <w:ilvl w:val="0"/>
          <w:numId w:val="38"/>
        </w:numPr>
        <w:tabs>
          <w:tab w:val="clear" w:pos="709"/>
          <w:tab w:val="left" w:pos="567" w:leader="none"/>
        </w:tabs>
        <w:spacing w:before="0" w:after="0"/>
        <w:ind w:hanging="426" w:start="426"/>
        <w:jc w:val="both"/>
        <w:rPr>
          <w:rFonts w:ascii="Calibri" w:hAnsi="Calibri" w:cs="Calibri"/>
          <w:i w:val="false"/>
          <w:color w:val="auto"/>
        </w:rPr>
      </w:pPr>
      <w:r>
        <w:rPr>
          <w:rFonts w:eastAsia="Calibri" w:cs="Calibri" w:ascii="Calibri" w:hAnsi="Calibri"/>
          <w:i w:val="false"/>
          <w:color w:val="auto"/>
        </w:rPr>
        <w:t>Po zakończeniu wykonania zakresu objętego umową, Wykonawca zgłasza Zamawiającemu gotowość do odbioru końcowego.</w:t>
      </w:r>
    </w:p>
    <w:p>
      <w:pPr>
        <w:pStyle w:val="Quote"/>
        <w:numPr>
          <w:ilvl w:val="0"/>
          <w:numId w:val="38"/>
        </w:numPr>
        <w:tabs>
          <w:tab w:val="clear" w:pos="709"/>
          <w:tab w:val="left" w:pos="567" w:leader="none"/>
        </w:tabs>
        <w:spacing w:before="0" w:after="0"/>
        <w:ind w:hanging="426" w:start="426"/>
        <w:jc w:val="both"/>
        <w:rPr>
          <w:rFonts w:ascii="Calibri" w:hAnsi="Calibri" w:cs="Calibri"/>
          <w:i w:val="false"/>
          <w:color w:val="auto"/>
        </w:rPr>
      </w:pPr>
      <w:r>
        <w:rPr>
          <w:rFonts w:eastAsia="Calibri" w:cs="Calibri" w:ascii="Calibri" w:hAnsi="Calibri"/>
          <w:i w:val="false"/>
          <w:color w:val="auto"/>
        </w:rPr>
        <w:t>Strony postanawiają, że przedmiotem odbioru końcowego będzie wykonanie całości robót objętych umową.</w:t>
      </w:r>
    </w:p>
    <w:p>
      <w:pPr>
        <w:pStyle w:val="Quote"/>
        <w:numPr>
          <w:ilvl w:val="0"/>
          <w:numId w:val="38"/>
        </w:numPr>
        <w:tabs>
          <w:tab w:val="clear" w:pos="709"/>
          <w:tab w:val="left" w:pos="567" w:leader="none"/>
        </w:tabs>
        <w:spacing w:before="0" w:after="0"/>
        <w:ind w:hanging="426" w:start="426"/>
        <w:jc w:val="both"/>
        <w:rPr>
          <w:rFonts w:ascii="Calibri" w:hAnsi="Calibri" w:cs="Calibri"/>
          <w:i w:val="false"/>
          <w:color w:val="auto"/>
        </w:rPr>
      </w:pPr>
      <w:r>
        <w:rPr>
          <w:rFonts w:eastAsia="Calibri" w:cs="Calibri" w:ascii="Calibri" w:hAnsi="Calibri"/>
          <w:i w:val="false"/>
          <w:color w:val="auto"/>
        </w:rPr>
        <w:t>Przed zgłoszeniem gotowości do odbioru końcowego Wykonawca przeprowadza wszystkie wymagane prawem próby i sprawdzenia, zawiadamiając o nich uprzednio Zamawiającego pisemnie w terminie umożliwiającym udział przedstawicieli Zamawiającego w próbach i sprawdzeniach.</w:t>
      </w:r>
    </w:p>
    <w:p>
      <w:pPr>
        <w:pStyle w:val="Quote"/>
        <w:numPr>
          <w:ilvl w:val="0"/>
          <w:numId w:val="38"/>
        </w:numPr>
        <w:tabs>
          <w:tab w:val="clear" w:pos="709"/>
          <w:tab w:val="left" w:pos="567" w:leader="none"/>
        </w:tabs>
        <w:spacing w:before="0" w:after="0"/>
        <w:ind w:hanging="426" w:start="426"/>
        <w:jc w:val="both"/>
        <w:rPr>
          <w:rFonts w:ascii="Calibri" w:hAnsi="Calibri" w:cs="Calibri"/>
          <w:i w:val="false"/>
          <w:color w:val="auto"/>
        </w:rPr>
      </w:pPr>
      <w:r>
        <w:rPr>
          <w:rFonts w:eastAsia="Calibri" w:cs="Calibri" w:ascii="Calibri" w:hAnsi="Calibri"/>
          <w:i w:val="false"/>
          <w:color w:val="auto"/>
        </w:rPr>
        <w:t>Wykonawca obowiązany jest zgłosić na piśmie Zamawiającemu fakt wykonania robót budowlanych i gotowość do odbioru końcowego. Inspektor Nadzoru potwierdzi gotowość do odbioru końcowego lub stwierdzi brak gotowości do odbioru w terminie do 5 dni roboczych od daty zgłoszenia. Od potwierdzenia gotowości do odbioru zależą dalsze czynności związane z odbiorem końcowym.</w:t>
      </w:r>
    </w:p>
    <w:p>
      <w:pPr>
        <w:pStyle w:val="Quote"/>
        <w:numPr>
          <w:ilvl w:val="0"/>
          <w:numId w:val="38"/>
        </w:numPr>
        <w:tabs>
          <w:tab w:val="clear" w:pos="709"/>
          <w:tab w:val="left" w:pos="567" w:leader="none"/>
        </w:tabs>
        <w:spacing w:before="0" w:after="0"/>
        <w:ind w:hanging="426" w:start="426"/>
        <w:jc w:val="both"/>
        <w:rPr>
          <w:rFonts w:ascii="Calibri" w:hAnsi="Calibri" w:cs="Calibri"/>
          <w:i w:val="false"/>
          <w:color w:val="auto"/>
        </w:rPr>
      </w:pPr>
      <w:r>
        <w:rPr>
          <w:rFonts w:eastAsia="Calibri" w:cs="Calibri" w:ascii="Calibri" w:hAnsi="Calibri"/>
          <w:i w:val="false"/>
          <w:color w:val="auto"/>
        </w:rPr>
        <w:t>Odbiór końcowy jest przeprowadzany komisyjnie przy udziale upoważnionych przedstawicieli Zamawiającego, Inspektora Nadzoru Inwestorskiego i upoważnionych przedstawicieli Wykonawcy. O terminie odbioru Wykonawca ma obowiązek poinformowania podwykonawców, przy udziale, których wykonał przedmiot umowy.</w:t>
      </w:r>
    </w:p>
    <w:p>
      <w:pPr>
        <w:pStyle w:val="Quote"/>
        <w:numPr>
          <w:ilvl w:val="0"/>
          <w:numId w:val="38"/>
        </w:numPr>
        <w:tabs>
          <w:tab w:val="clear" w:pos="709"/>
          <w:tab w:val="left" w:pos="567" w:leader="none"/>
        </w:tabs>
        <w:spacing w:before="0" w:after="0"/>
        <w:ind w:hanging="426" w:start="426"/>
        <w:jc w:val="both"/>
        <w:rPr>
          <w:rFonts w:ascii="Calibri" w:hAnsi="Calibri" w:cs="Calibri"/>
          <w:i w:val="false"/>
          <w:color w:val="auto"/>
        </w:rPr>
      </w:pPr>
      <w:r>
        <w:rPr>
          <w:rFonts w:eastAsia="Calibri" w:cs="Calibri" w:ascii="Calibri" w:hAnsi="Calibri"/>
          <w:i w:val="false"/>
          <w:color w:val="auto"/>
        </w:rPr>
        <w:t>Zamawiający wyznaczy termin i rozpocznie odbiór końcowy przedmiotu umowy w terminie do 7 dni roboczych od daty, w której Inspektor Nadzoru potwierdzi gotowość do odbioru Zamawiającemu. Czynności odbioru trwają do 7 dni roboczych. Wykonawca na rozpoczęcie czynności odbioru końcowego przedkłada operat powykonawczy z następującymi dokumentami:</w:t>
      </w:r>
    </w:p>
    <w:p>
      <w:pPr>
        <w:pStyle w:val="Quote"/>
        <w:numPr>
          <w:ilvl w:val="0"/>
          <w:numId w:val="41"/>
        </w:numPr>
        <w:tabs>
          <w:tab w:val="clear" w:pos="709"/>
          <w:tab w:val="left" w:pos="851" w:leader="none"/>
        </w:tabs>
        <w:spacing w:before="0" w:after="0"/>
        <w:ind w:hanging="425" w:start="851"/>
        <w:jc w:val="both"/>
        <w:rPr>
          <w:rFonts w:ascii="Calibri" w:hAnsi="Calibri" w:cs="Calibri"/>
          <w:i w:val="false"/>
          <w:color w:val="auto"/>
        </w:rPr>
      </w:pPr>
      <w:r>
        <w:rPr>
          <w:rFonts w:eastAsia="Calibri" w:cs="Calibri" w:ascii="Calibri" w:hAnsi="Calibri"/>
          <w:i w:val="false"/>
          <w:color w:val="auto"/>
        </w:rPr>
        <w:t>oświadczeniem kierownika budowy o zakończeniu robót;</w:t>
      </w:r>
    </w:p>
    <w:p>
      <w:pPr>
        <w:pStyle w:val="Quote"/>
        <w:numPr>
          <w:ilvl w:val="0"/>
          <w:numId w:val="41"/>
        </w:numPr>
        <w:tabs>
          <w:tab w:val="clear" w:pos="709"/>
          <w:tab w:val="left" w:pos="851" w:leader="none"/>
        </w:tabs>
        <w:spacing w:before="0" w:after="0"/>
        <w:ind w:hanging="425" w:start="851"/>
        <w:jc w:val="both"/>
        <w:rPr>
          <w:rFonts w:ascii="Calibri" w:hAnsi="Calibri" w:cs="Calibri"/>
          <w:i w:val="false"/>
          <w:color w:val="auto"/>
        </w:rPr>
      </w:pPr>
      <w:r>
        <w:rPr>
          <w:rFonts w:eastAsia="Calibri" w:cs="Calibri" w:ascii="Calibri" w:hAnsi="Calibri"/>
          <w:i w:val="false"/>
          <w:color w:val="auto"/>
        </w:rPr>
        <w:t>geodezyjną inwentaryzację powykonawczą przyjętą do Powiatowego Ośrodka Dokumentacji Geodezyjnej i Kartograficznej w Legnicy;</w:t>
      </w:r>
    </w:p>
    <w:p>
      <w:pPr>
        <w:pStyle w:val="Quote"/>
        <w:numPr>
          <w:ilvl w:val="0"/>
          <w:numId w:val="41"/>
        </w:numPr>
        <w:tabs>
          <w:tab w:val="clear" w:pos="709"/>
          <w:tab w:val="left" w:pos="851" w:leader="none"/>
        </w:tabs>
        <w:spacing w:before="0" w:after="0"/>
        <w:ind w:hanging="425" w:start="851"/>
        <w:jc w:val="both"/>
        <w:rPr>
          <w:rFonts w:ascii="Calibri" w:hAnsi="Calibri" w:cs="Calibri"/>
          <w:i w:val="false"/>
          <w:color w:val="auto"/>
        </w:rPr>
      </w:pPr>
      <w:r>
        <w:rPr>
          <w:rFonts w:eastAsia="Calibri" w:cs="Calibri" w:ascii="Calibri" w:hAnsi="Calibri"/>
          <w:i w:val="false"/>
          <w:color w:val="auto"/>
        </w:rPr>
        <w:t>zaświadczeniem o braku sprzeciwu dot. zakończenia budowy w organie Nadzoru Budowlanego (w przypadku uzyskania pozwolenia na budowę)</w:t>
      </w:r>
    </w:p>
    <w:p>
      <w:pPr>
        <w:pStyle w:val="Quote"/>
        <w:numPr>
          <w:ilvl w:val="0"/>
          <w:numId w:val="41"/>
        </w:numPr>
        <w:tabs>
          <w:tab w:val="clear" w:pos="709"/>
          <w:tab w:val="left" w:pos="851" w:leader="none"/>
        </w:tabs>
        <w:spacing w:before="0" w:after="0"/>
        <w:ind w:hanging="425" w:start="851"/>
        <w:jc w:val="both"/>
        <w:rPr>
          <w:rFonts w:ascii="Calibri" w:hAnsi="Calibri" w:cs="Calibri"/>
          <w:i w:val="false"/>
          <w:color w:val="auto"/>
        </w:rPr>
      </w:pPr>
      <w:r>
        <w:rPr>
          <w:rFonts w:eastAsia="Calibri" w:cs="Calibri" w:ascii="Calibri" w:hAnsi="Calibri"/>
          <w:i w:val="false"/>
          <w:color w:val="auto"/>
        </w:rPr>
        <w:t>protokoły odbiorów technicznych;</w:t>
      </w:r>
    </w:p>
    <w:p>
      <w:pPr>
        <w:pStyle w:val="Quote"/>
        <w:numPr>
          <w:ilvl w:val="0"/>
          <w:numId w:val="41"/>
        </w:numPr>
        <w:tabs>
          <w:tab w:val="clear" w:pos="709"/>
          <w:tab w:val="left" w:pos="851" w:leader="none"/>
        </w:tabs>
        <w:spacing w:before="0" w:after="0"/>
        <w:ind w:hanging="425" w:start="851"/>
        <w:jc w:val="both"/>
        <w:rPr>
          <w:rFonts w:ascii="Calibri" w:hAnsi="Calibri" w:cs="Calibri"/>
          <w:i w:val="false"/>
          <w:color w:val="auto"/>
        </w:rPr>
      </w:pPr>
      <w:r>
        <w:rPr>
          <w:rFonts w:eastAsia="Calibri" w:cs="Calibri" w:ascii="Calibri" w:hAnsi="Calibri"/>
          <w:i w:val="false"/>
          <w:color w:val="auto"/>
        </w:rPr>
        <w:t>deklaracje właściwości użytkowych, atesty i aprobat techniczne podstawowych materiałów użytych do inwestycji;</w:t>
      </w:r>
    </w:p>
    <w:p>
      <w:pPr>
        <w:pStyle w:val="Quote"/>
        <w:numPr>
          <w:ilvl w:val="0"/>
          <w:numId w:val="41"/>
        </w:numPr>
        <w:tabs>
          <w:tab w:val="clear" w:pos="709"/>
          <w:tab w:val="left" w:pos="851" w:leader="none"/>
        </w:tabs>
        <w:spacing w:before="0" w:after="0"/>
        <w:ind w:hanging="425" w:start="851"/>
        <w:jc w:val="both"/>
        <w:rPr>
          <w:rFonts w:ascii="Calibri" w:hAnsi="Calibri" w:cs="Calibri"/>
          <w:i w:val="false"/>
          <w:color w:val="auto"/>
        </w:rPr>
      </w:pPr>
      <w:r>
        <w:rPr>
          <w:rFonts w:eastAsia="Calibri" w:cs="Calibri" w:ascii="Calibri" w:hAnsi="Calibri"/>
          <w:i w:val="false"/>
          <w:color w:val="auto"/>
        </w:rPr>
        <w:t>karty gwarancyjne DTR, protokoły badań i sprawdzeń;</w:t>
      </w:r>
    </w:p>
    <w:p>
      <w:pPr>
        <w:pStyle w:val="Quote"/>
        <w:numPr>
          <w:ilvl w:val="0"/>
          <w:numId w:val="41"/>
        </w:numPr>
        <w:tabs>
          <w:tab w:val="clear" w:pos="709"/>
          <w:tab w:val="left" w:pos="851" w:leader="none"/>
        </w:tabs>
        <w:spacing w:before="0" w:after="0"/>
        <w:ind w:hanging="425" w:start="851"/>
        <w:jc w:val="both"/>
        <w:rPr>
          <w:rFonts w:ascii="Calibri" w:hAnsi="Calibri" w:cs="Calibri"/>
          <w:i w:val="false"/>
          <w:color w:val="auto"/>
        </w:rPr>
      </w:pPr>
      <w:r>
        <w:rPr>
          <w:rFonts w:eastAsia="Calibri" w:cs="Calibri" w:ascii="Calibri" w:hAnsi="Calibri"/>
          <w:i w:val="false"/>
          <w:color w:val="auto"/>
        </w:rPr>
        <w:t>wykaz wszystkich właścicieli działek niebędących własnością Zamawiającego, a czasowo zajętych w celu wykonania robót wraz z protokołem odbioru tych działek po doprowadzeniu ich do stanu pierwotnego lub ustalonego z właścicielem;</w:t>
      </w:r>
    </w:p>
    <w:p>
      <w:pPr>
        <w:pStyle w:val="Quote"/>
        <w:numPr>
          <w:ilvl w:val="0"/>
          <w:numId w:val="41"/>
        </w:numPr>
        <w:tabs>
          <w:tab w:val="clear" w:pos="709"/>
          <w:tab w:val="left" w:pos="851" w:leader="none"/>
        </w:tabs>
        <w:spacing w:before="0" w:after="0"/>
        <w:ind w:hanging="425" w:start="851"/>
        <w:jc w:val="both"/>
        <w:rPr>
          <w:rFonts w:ascii="Calibri" w:hAnsi="Calibri" w:cs="Calibri"/>
          <w:i w:val="false"/>
          <w:color w:val="auto"/>
        </w:rPr>
      </w:pPr>
      <w:r>
        <w:rPr>
          <w:rFonts w:eastAsia="Calibri" w:cs="Calibri" w:ascii="Calibri" w:hAnsi="Calibri"/>
          <w:i w:val="false"/>
          <w:color w:val="auto"/>
        </w:rPr>
        <w:t>wszystkie inne potrzebne dokumenty niezbędne do prawidłowego przeprowadzenia czynności odbiorowych i zakończenia budowy.</w:t>
      </w:r>
    </w:p>
    <w:p>
      <w:pPr>
        <w:pStyle w:val="Quote"/>
        <w:numPr>
          <w:ilvl w:val="0"/>
          <w:numId w:val="43"/>
        </w:numPr>
        <w:tabs>
          <w:tab w:val="clear" w:pos="709"/>
          <w:tab w:val="left" w:pos="567" w:leader="none"/>
        </w:tabs>
        <w:spacing w:before="0" w:after="0"/>
        <w:ind w:hanging="426" w:start="426"/>
        <w:jc w:val="both"/>
        <w:rPr>
          <w:rFonts w:ascii="Calibri" w:hAnsi="Calibri" w:cs="Calibri"/>
          <w:i w:val="false"/>
          <w:color w:val="auto"/>
        </w:rPr>
      </w:pPr>
      <w:r>
        <w:rPr>
          <w:rFonts w:eastAsia="Calibri" w:cs="Calibri" w:ascii="Calibri" w:hAnsi="Calibri"/>
          <w:i w:val="false"/>
          <w:color w:val="auto"/>
        </w:rPr>
        <w:t xml:space="preserve">Strony postanawiają, że z rozpoczęcia czynności odbioru końcowego zostanie spisany protokół zawierający wszystkie ustalenia w toku odbioru, jak też termin wyznaczony na usuniecie wad </w:t>
        <w:br/>
        <w:t>i usterek.</w:t>
      </w:r>
    </w:p>
    <w:p>
      <w:pPr>
        <w:pStyle w:val="Quote"/>
        <w:numPr>
          <w:ilvl w:val="0"/>
          <w:numId w:val="43"/>
        </w:numPr>
        <w:tabs>
          <w:tab w:val="clear" w:pos="709"/>
          <w:tab w:val="left" w:pos="567" w:leader="none"/>
        </w:tabs>
        <w:spacing w:before="0" w:after="0"/>
        <w:ind w:hanging="426" w:start="426"/>
        <w:jc w:val="both"/>
        <w:rPr>
          <w:rFonts w:ascii="Calibri" w:hAnsi="Calibri" w:cs="Calibri"/>
          <w:i w:val="false"/>
          <w:color w:val="auto"/>
        </w:rPr>
      </w:pPr>
      <w:r>
        <w:rPr>
          <w:rFonts w:eastAsia="Calibri" w:cs="Calibri" w:ascii="Calibri" w:hAnsi="Calibri"/>
          <w:i w:val="false"/>
          <w:color w:val="auto"/>
        </w:rPr>
        <w:t>Jeżeli w toku czynności odbioru zostaną stwierdzone wady lub usterki Zamawiającemu przysługują następujące uprawnienia:</w:t>
      </w:r>
    </w:p>
    <w:p>
      <w:pPr>
        <w:pStyle w:val="Quote"/>
        <w:numPr>
          <w:ilvl w:val="0"/>
          <w:numId w:val="40"/>
        </w:numPr>
        <w:tabs>
          <w:tab w:val="clear" w:pos="709"/>
          <w:tab w:val="left" w:pos="851" w:leader="none"/>
        </w:tabs>
        <w:spacing w:before="0" w:after="0"/>
        <w:ind w:hanging="425" w:start="851"/>
        <w:jc w:val="both"/>
        <w:rPr>
          <w:rFonts w:ascii="Calibri" w:hAnsi="Calibri" w:cs="Calibri"/>
          <w:i w:val="false"/>
          <w:color w:val="auto"/>
        </w:rPr>
      </w:pPr>
      <w:r>
        <w:rPr>
          <w:rFonts w:eastAsia="Calibri" w:cs="Calibri" w:ascii="Calibri" w:hAnsi="Calibri"/>
          <w:i w:val="false"/>
          <w:color w:val="auto"/>
        </w:rPr>
        <w:t xml:space="preserve">W przypadku wad nieistotnych przyjąć przedmiot umowy z jednoczesnym opisaniem stwierdzonych wad w protokole odbioru. Zamawiający może żądać ich usunięcia wyznaczając w tym celu Wykonawcy odpowiedni termin, a po bezskutecznym upływie tego terminu Zamawiający może usunąć wady i usterki własnym staraniem na koszt Wykonawcy, </w:t>
        <w:br/>
        <w:t>na co Wykonawca wyraża zgodę i co nie ma wpływu na dalsze lub przyszłe roszczenia z tytułu gwarancji.</w:t>
      </w:r>
    </w:p>
    <w:p>
      <w:pPr>
        <w:pStyle w:val="Quote"/>
        <w:numPr>
          <w:ilvl w:val="0"/>
          <w:numId w:val="40"/>
        </w:numPr>
        <w:tabs>
          <w:tab w:val="clear" w:pos="709"/>
          <w:tab w:val="left" w:pos="851" w:leader="none"/>
        </w:tabs>
        <w:spacing w:before="0" w:after="0"/>
        <w:ind w:hanging="425" w:start="851"/>
        <w:jc w:val="both"/>
        <w:rPr>
          <w:rFonts w:ascii="Calibri" w:hAnsi="Calibri" w:cs="Calibri"/>
          <w:i w:val="false"/>
          <w:color w:val="auto"/>
        </w:rPr>
      </w:pPr>
      <w:r>
        <w:rPr>
          <w:rFonts w:eastAsia="Calibri" w:cs="Calibri" w:ascii="Calibri" w:hAnsi="Calibri"/>
          <w:i w:val="false"/>
          <w:color w:val="auto"/>
        </w:rPr>
        <w:t xml:space="preserve">Jeżeli wady są istotne i nie nadają się do usunięcia lub gdy z okoliczności wynika, </w:t>
        <w:br/>
        <w:t xml:space="preserve">że Wykonawca nie zdoła ich usunąć w wyznaczonym terminie, Zamawiający może od umowy odstąpić, natomiast jeżeli wady nie są istotne, Zamawiający może żądać obniżenia wynagrodzenia w odpowiednim stosunku. To samo dotyczy wypadku, gdy Wykonawca </w:t>
        <w:br/>
        <w:t>nie usunął wad w terminie wyznaczonym przez Zamawiającego.</w:t>
      </w:r>
    </w:p>
    <w:p>
      <w:pPr>
        <w:pStyle w:val="Quote"/>
        <w:numPr>
          <w:ilvl w:val="0"/>
          <w:numId w:val="40"/>
        </w:numPr>
        <w:tabs>
          <w:tab w:val="clear" w:pos="709"/>
          <w:tab w:val="left" w:pos="851" w:leader="none"/>
        </w:tabs>
        <w:spacing w:before="0" w:after="0"/>
        <w:ind w:hanging="425" w:start="851"/>
        <w:jc w:val="both"/>
        <w:rPr>
          <w:rFonts w:ascii="Calibri" w:hAnsi="Calibri" w:cs="Calibri"/>
          <w:i w:val="false"/>
          <w:color w:val="auto"/>
        </w:rPr>
      </w:pPr>
      <w:r>
        <w:rPr>
          <w:rFonts w:eastAsia="Calibri" w:cs="Calibri" w:ascii="Calibri" w:hAnsi="Calibri"/>
          <w:i w:val="false"/>
          <w:color w:val="auto"/>
        </w:rPr>
        <w:t>Na zakończenie czynności odbioru końcowego komisja sporządza Protokół odbioru końcowego robót. Podpisany Protokół odbioru końcowego robót jest podstawą do dokonania końcowych rozliczeń stron umowy.</w:t>
      </w:r>
    </w:p>
    <w:p>
      <w:pPr>
        <w:pStyle w:val="Quote"/>
        <w:numPr>
          <w:ilvl w:val="0"/>
          <w:numId w:val="42"/>
        </w:numPr>
        <w:tabs>
          <w:tab w:val="clear" w:pos="709"/>
          <w:tab w:val="left" w:pos="851" w:leader="none"/>
        </w:tabs>
        <w:spacing w:before="0" w:after="0"/>
        <w:ind w:hanging="426" w:start="426"/>
        <w:jc w:val="both"/>
        <w:rPr>
          <w:rFonts w:ascii="Calibri" w:hAnsi="Calibri" w:cs="Calibri"/>
          <w:i w:val="false"/>
          <w:color w:val="auto"/>
        </w:rPr>
      </w:pPr>
      <w:r>
        <w:rPr>
          <w:rFonts w:eastAsia="Calibri" w:cs="Calibri" w:ascii="Calibri" w:hAnsi="Calibri"/>
          <w:i w:val="false"/>
          <w:color w:val="auto"/>
        </w:rPr>
        <w:t>Uprawnienia wynikające z § 12 ust. 12 niniejszej umowy mają zastosowanie także po dokonaniu czynności odbioru jako uprawnienia z tytułu rękojmi i gwarancji.</w:t>
      </w:r>
    </w:p>
    <w:p>
      <w:pPr>
        <w:pStyle w:val="Quote"/>
        <w:numPr>
          <w:ilvl w:val="0"/>
          <w:numId w:val="42"/>
        </w:numPr>
        <w:tabs>
          <w:tab w:val="clear" w:pos="709"/>
          <w:tab w:val="left" w:pos="851" w:leader="none"/>
        </w:tabs>
        <w:spacing w:before="0" w:after="0"/>
        <w:ind w:hanging="426" w:start="426"/>
        <w:jc w:val="both"/>
        <w:rPr>
          <w:rFonts w:ascii="Calibri" w:hAnsi="Calibri" w:cs="Calibri"/>
          <w:i w:val="false"/>
          <w:color w:val="auto"/>
        </w:rPr>
      </w:pPr>
      <w:r>
        <w:rPr>
          <w:rFonts w:eastAsia="Calibri" w:cs="Calibri" w:ascii="Calibri" w:hAnsi="Calibri"/>
          <w:i w:val="false"/>
          <w:color w:val="auto"/>
        </w:rPr>
        <w:t>Wykonawca zobowiązany jest do zawiadomienia Zamawiającego o usunięciu wad i usterek.</w:t>
      </w:r>
    </w:p>
    <w:p>
      <w:pPr>
        <w:pStyle w:val="Quote"/>
        <w:numPr>
          <w:ilvl w:val="0"/>
          <w:numId w:val="42"/>
        </w:numPr>
        <w:tabs>
          <w:tab w:val="clear" w:pos="709"/>
          <w:tab w:val="left" w:pos="851" w:leader="none"/>
        </w:tabs>
        <w:spacing w:before="0" w:after="0"/>
        <w:ind w:hanging="426" w:start="426"/>
        <w:jc w:val="both"/>
        <w:rPr>
          <w:rFonts w:ascii="Calibri" w:hAnsi="Calibri" w:cs="Calibri"/>
          <w:i w:val="false"/>
          <w:color w:val="auto"/>
        </w:rPr>
      </w:pPr>
      <w:r>
        <w:rPr>
          <w:rFonts w:eastAsia="Calibri" w:cs="Calibri" w:ascii="Calibri" w:hAnsi="Calibri"/>
          <w:i w:val="false"/>
          <w:color w:val="auto"/>
        </w:rPr>
        <w:t>Zakres robót zrealizowany przez podwykonawców podlega odbiorom częściowym i końcowemu przez Wykonawcę i zatwierdzeniu odbioru przez Zamawiającego (Inspektora nadzoru).</w:t>
      </w:r>
    </w:p>
    <w:p>
      <w:pPr>
        <w:pStyle w:val="Quote"/>
        <w:numPr>
          <w:ilvl w:val="0"/>
          <w:numId w:val="42"/>
        </w:numPr>
        <w:tabs>
          <w:tab w:val="clear" w:pos="709"/>
          <w:tab w:val="left" w:pos="851" w:leader="none"/>
        </w:tabs>
        <w:spacing w:before="0" w:after="0"/>
        <w:ind w:hanging="426" w:start="426"/>
        <w:jc w:val="both"/>
        <w:rPr>
          <w:rFonts w:ascii="Calibri" w:hAnsi="Calibri" w:eastAsia="Calibri" w:cs="Calibri"/>
          <w:i w:val="false"/>
          <w:color w:val="auto"/>
        </w:rPr>
      </w:pPr>
      <w:r>
        <w:rPr>
          <w:rFonts w:eastAsia="Calibri" w:cs="Calibri" w:ascii="Calibri" w:hAnsi="Calibri"/>
          <w:i w:val="false"/>
          <w:color w:val="auto"/>
        </w:rPr>
        <w:t>Za dzień faktycznego Odbioru końcowego uznaje się dzień podpisania przez upoważnionych przedstawicieli stron umowy protokołu odbioru końcowego robót.</w:t>
      </w:r>
    </w:p>
    <w:p>
      <w:pPr>
        <w:pStyle w:val="Normal"/>
        <w:rPr/>
      </w:pPr>
      <w:r>
        <w:rPr/>
      </w:r>
    </w:p>
    <w:p>
      <w:pPr>
        <w:pStyle w:val="Normal"/>
        <w:spacing w:lineRule="auto" w:line="276" w:before="0" w:after="0"/>
        <w:ind w:hanging="431" w:start="431"/>
        <w:jc w:val="center"/>
        <w:rPr>
          <w:rFonts w:ascii="Calibri" w:hAnsi="Calibri" w:cs="Calibri"/>
          <w:b/>
        </w:rPr>
      </w:pPr>
      <w:r>
        <w:rPr>
          <w:rFonts w:eastAsia="Calibri" w:cs="Calibri" w:ascii="Calibri" w:hAnsi="Calibri"/>
          <w:b/>
          <w:lang w:eastAsia="pl-PL"/>
        </w:rPr>
        <w:t>§ 13</w:t>
      </w:r>
    </w:p>
    <w:p>
      <w:pPr>
        <w:pStyle w:val="Normal"/>
        <w:spacing w:lineRule="auto" w:line="276" w:before="0" w:after="0"/>
        <w:ind w:hanging="431" w:start="431"/>
        <w:jc w:val="center"/>
        <w:rPr>
          <w:rFonts w:ascii="Calibri" w:hAnsi="Calibri" w:cs="Calibri"/>
          <w:b/>
        </w:rPr>
      </w:pPr>
      <w:r>
        <w:rPr>
          <w:rFonts w:eastAsia="Calibri" w:cs="Calibri" w:ascii="Calibri" w:hAnsi="Calibri"/>
          <w:b/>
          <w:lang w:eastAsia="pl-PL"/>
        </w:rPr>
        <w:t>Odstąpienie od umowy</w:t>
      </w:r>
    </w:p>
    <w:p>
      <w:pPr>
        <w:pStyle w:val="Standard"/>
        <w:numPr>
          <w:ilvl w:val="0"/>
          <w:numId w:val="48"/>
        </w:numPr>
        <w:spacing w:lineRule="auto" w:line="276"/>
        <w:ind w:hanging="426" w:start="426"/>
        <w:jc w:val="both"/>
        <w:rPr>
          <w:rFonts w:ascii="Calibri" w:hAnsi="Calibri" w:cs="Calibri"/>
          <w:sz w:val="22"/>
          <w:szCs w:val="22"/>
        </w:rPr>
      </w:pPr>
      <w:r>
        <w:rPr>
          <w:rFonts w:eastAsia="Calibri" w:cs="Calibri" w:ascii="Calibri" w:hAnsi="Calibri"/>
          <w:sz w:val="22"/>
          <w:szCs w:val="22"/>
          <w:lang w:eastAsia="pl-PL"/>
        </w:rPr>
        <w:t>Zamawiający</w:t>
      </w:r>
      <w:r>
        <w:rPr>
          <w:rFonts w:eastAsia="Calibri" w:cs="Calibri" w:ascii="Calibri" w:hAnsi="Calibri"/>
          <w:sz w:val="22"/>
          <w:szCs w:val="22"/>
        </w:rPr>
        <w:t xml:space="preserve"> może odstąpić od umowy:</w:t>
      </w:r>
    </w:p>
    <w:p>
      <w:pPr>
        <w:pStyle w:val="Standard"/>
        <w:numPr>
          <w:ilvl w:val="0"/>
          <w:numId w:val="49"/>
        </w:numPr>
        <w:spacing w:lineRule="auto" w:line="276"/>
        <w:ind w:hanging="283" w:start="737"/>
        <w:jc w:val="both"/>
        <w:rPr>
          <w:rFonts w:ascii="Calibri" w:hAnsi="Calibri" w:cs="Calibri"/>
          <w:sz w:val="22"/>
          <w:szCs w:val="22"/>
        </w:rPr>
      </w:pPr>
      <w:r>
        <w:rPr>
          <w:rFonts w:eastAsia="Calibri" w:cs="Calibri" w:ascii="Calibri" w:hAnsi="Calibri"/>
          <w:sz w:val="22"/>
          <w:szCs w:val="22"/>
          <w:lang w:eastAsia="pl-PL"/>
        </w:rPr>
        <w:t>w terminie 30 dni od powzięcia wiadomości o zaistnieniu istotnej zmiany okoliczności powodującej, że wykonanie umowy nie leży w interesie publicznym, czego nie można było przewidzieć w chwili zawarcia umowy lub dalsze wykonanie umowy może zagrażać podstawowemu interesowi bezpieczeństwa państwa lub bezpieczeństwu publicznemu,</w:t>
      </w:r>
    </w:p>
    <w:p>
      <w:pPr>
        <w:pStyle w:val="Standard"/>
        <w:numPr>
          <w:ilvl w:val="0"/>
          <w:numId w:val="28"/>
        </w:numPr>
        <w:spacing w:lineRule="auto" w:line="276"/>
        <w:ind w:hanging="283" w:start="737"/>
        <w:jc w:val="both"/>
        <w:rPr>
          <w:rFonts w:ascii="Calibri" w:hAnsi="Calibri" w:cs="Calibri"/>
          <w:sz w:val="22"/>
          <w:szCs w:val="22"/>
        </w:rPr>
      </w:pPr>
      <w:r>
        <w:rPr>
          <w:rFonts w:eastAsia="Calibri" w:cs="Calibri" w:ascii="Calibri" w:hAnsi="Calibri"/>
          <w:sz w:val="22"/>
          <w:szCs w:val="22"/>
        </w:rPr>
        <w:t>jeżeli zachodzi co najmniej jedna z następujących okoliczności:</w:t>
      </w:r>
    </w:p>
    <w:p>
      <w:pPr>
        <w:pStyle w:val="Standard"/>
        <w:numPr>
          <w:ilvl w:val="0"/>
          <w:numId w:val="50"/>
        </w:numPr>
        <w:spacing w:lineRule="auto" w:line="276"/>
        <w:ind w:hanging="340" w:start="1077"/>
        <w:jc w:val="both"/>
        <w:rPr>
          <w:rFonts w:ascii="Calibri" w:hAnsi="Calibri" w:cs="Calibri"/>
          <w:sz w:val="22"/>
          <w:szCs w:val="22"/>
        </w:rPr>
      </w:pPr>
      <w:r>
        <w:rPr>
          <w:rFonts w:eastAsia="Calibri" w:cs="Calibri" w:ascii="Calibri" w:hAnsi="Calibri"/>
          <w:sz w:val="22"/>
          <w:szCs w:val="22"/>
          <w:lang w:eastAsia="pl-PL"/>
        </w:rPr>
        <w:t>dokonano zmiany umowy z naruszeniem art. 454 i art. 455 ustawy pzp,</w:t>
      </w:r>
    </w:p>
    <w:p>
      <w:pPr>
        <w:pStyle w:val="Standard"/>
        <w:numPr>
          <w:ilvl w:val="0"/>
          <w:numId w:val="29"/>
        </w:numPr>
        <w:spacing w:lineRule="auto" w:line="276"/>
        <w:ind w:hanging="340" w:start="1077"/>
        <w:jc w:val="both"/>
        <w:rPr>
          <w:rFonts w:ascii="Calibri" w:hAnsi="Calibri" w:cs="Calibri"/>
          <w:sz w:val="22"/>
          <w:szCs w:val="22"/>
        </w:rPr>
      </w:pPr>
      <w:r>
        <w:rPr>
          <w:rFonts w:eastAsia="Calibri" w:cs="Calibri" w:ascii="Calibri" w:hAnsi="Calibri"/>
          <w:sz w:val="22"/>
          <w:szCs w:val="22"/>
          <w:lang w:eastAsia="pl-PL"/>
        </w:rPr>
        <w:t>w chwili zawarcia umowy podlegał wykluczeniu na podstawie art. 108 ustawy pzp,</w:t>
      </w:r>
    </w:p>
    <w:p>
      <w:pPr>
        <w:pStyle w:val="Standard"/>
        <w:numPr>
          <w:ilvl w:val="0"/>
          <w:numId w:val="29"/>
        </w:numPr>
        <w:spacing w:lineRule="auto" w:line="276"/>
        <w:ind w:hanging="340" w:start="1077"/>
        <w:jc w:val="both"/>
        <w:rPr>
          <w:rFonts w:ascii="Calibri" w:hAnsi="Calibri" w:cs="Calibri"/>
          <w:sz w:val="22"/>
          <w:szCs w:val="22"/>
        </w:rPr>
      </w:pPr>
      <w:r>
        <w:rPr>
          <w:rFonts w:eastAsia="Calibri" w:cs="Calibri" w:ascii="Calibri" w:hAnsi="Calibri"/>
          <w:sz w:val="22"/>
          <w:szCs w:val="22"/>
          <w:lang w:eastAsia="pl-PL"/>
        </w:rPr>
        <w:t>Trybunał Sprawiedliwości Unii Europejskiej stwierdził, w ramach procedury przewidzianej w art. 258 Traktatu o funkcjonowaniu Unii Europejskiej, że Rzeczpospolita Polska uchybiła zobowiązaniom, które ciążą na niej z mocy Traktatów: dyrektywy 2014/24/UE, dyrektywy 2014/25/UE i dyrektywy 209/81/WE, z uwagi na to, że Zamawiający udzielił zamówienia z naruszeniem prawa Unii Europejskiej.</w:t>
      </w:r>
    </w:p>
    <w:p>
      <w:pPr>
        <w:pStyle w:val="Standard"/>
        <w:numPr>
          <w:ilvl w:val="0"/>
          <w:numId w:val="27"/>
        </w:numPr>
        <w:spacing w:lineRule="auto" w:line="276"/>
        <w:ind w:hanging="426" w:start="360"/>
        <w:jc w:val="both"/>
        <w:rPr>
          <w:rFonts w:ascii="Calibri" w:hAnsi="Calibri" w:cs="Calibri"/>
          <w:sz w:val="22"/>
          <w:szCs w:val="22"/>
        </w:rPr>
      </w:pPr>
      <w:r>
        <w:rPr>
          <w:rFonts w:eastAsia="Calibri" w:cs="Calibri" w:ascii="Calibri" w:hAnsi="Calibri"/>
          <w:sz w:val="22"/>
          <w:szCs w:val="22"/>
          <w:lang w:eastAsia="pl-PL"/>
        </w:rPr>
        <w:t>W</w:t>
      </w:r>
      <w:r>
        <w:rPr>
          <w:rFonts w:eastAsia="Calibri" w:cs="Calibri" w:ascii="Calibri" w:hAnsi="Calibri"/>
          <w:sz w:val="22"/>
          <w:szCs w:val="22"/>
        </w:rPr>
        <w:t xml:space="preserve"> przypadku, o którym mowa w ust. 1 pkt 2) lit. a) niniejszej umowy, Zamawiający odstępuje od umowy w części,</w:t>
      </w:r>
      <w:r>
        <w:rPr>
          <w:rFonts w:eastAsia="Calibri" w:cs="Calibri" w:ascii="Calibri" w:hAnsi="Calibri"/>
          <w:sz w:val="22"/>
          <w:szCs w:val="22"/>
          <w:lang w:eastAsia="pl-PL"/>
        </w:rPr>
        <w:t xml:space="preserve"> której zmiana dotyczy.</w:t>
      </w:r>
    </w:p>
    <w:p>
      <w:pPr>
        <w:pStyle w:val="Standard"/>
        <w:numPr>
          <w:ilvl w:val="0"/>
          <w:numId w:val="27"/>
        </w:numPr>
        <w:spacing w:lineRule="auto" w:line="276"/>
        <w:ind w:hanging="426" w:start="360"/>
        <w:jc w:val="both"/>
        <w:rPr>
          <w:rFonts w:ascii="Calibri" w:hAnsi="Calibri" w:cs="Calibri"/>
          <w:sz w:val="22"/>
          <w:szCs w:val="22"/>
        </w:rPr>
      </w:pPr>
      <w:r>
        <w:rPr>
          <w:rFonts w:eastAsia="Calibri" w:cs="Calibri" w:ascii="Calibri" w:hAnsi="Calibri"/>
          <w:sz w:val="22"/>
          <w:szCs w:val="22"/>
          <w:lang w:eastAsia="pl-PL"/>
        </w:rPr>
        <w:t>W</w:t>
      </w:r>
      <w:r>
        <w:rPr>
          <w:rFonts w:eastAsia="Calibri" w:cs="Calibri" w:ascii="Calibri" w:hAnsi="Calibri"/>
          <w:sz w:val="22"/>
          <w:szCs w:val="22"/>
        </w:rPr>
        <w:t xml:space="preserve"> przypadkach, o których mowa w ust. 1 niniejszej umowy, Wykonawca może żądać wyłącznie wynagrodzenia należnego z tytułu wykonania części umowy.</w:t>
      </w:r>
    </w:p>
    <w:p>
      <w:pPr>
        <w:pStyle w:val="Standard"/>
        <w:numPr>
          <w:ilvl w:val="0"/>
          <w:numId w:val="27"/>
        </w:numPr>
        <w:spacing w:lineRule="auto" w:line="276"/>
        <w:ind w:hanging="426" w:start="360"/>
        <w:jc w:val="both"/>
        <w:rPr>
          <w:rFonts w:ascii="Calibri" w:hAnsi="Calibri" w:cs="Calibri"/>
          <w:sz w:val="22"/>
          <w:szCs w:val="22"/>
        </w:rPr>
      </w:pPr>
      <w:r>
        <w:rPr>
          <w:rFonts w:eastAsia="Calibri" w:cs="Calibri" w:ascii="Calibri" w:hAnsi="Calibri"/>
          <w:sz w:val="22"/>
          <w:szCs w:val="22"/>
          <w:lang w:eastAsia="pl-PL"/>
        </w:rPr>
        <w:t>Oprócz</w:t>
      </w:r>
      <w:r>
        <w:rPr>
          <w:rFonts w:eastAsia="Calibri" w:cs="Calibri" w:ascii="Calibri" w:hAnsi="Calibri"/>
          <w:sz w:val="22"/>
          <w:szCs w:val="22"/>
        </w:rPr>
        <w:t xml:space="preserve"> przypadków wymienionych w treści Księgi III tytułu VII i tytułu XV Kodeksu cywilnego, Stronom przysługuje prawo odstąpienia od umowy w następujących sytuacjach:</w:t>
      </w:r>
    </w:p>
    <w:p>
      <w:pPr>
        <w:pStyle w:val="Standard"/>
        <w:numPr>
          <w:ilvl w:val="0"/>
          <w:numId w:val="51"/>
        </w:numPr>
        <w:spacing w:lineRule="auto" w:line="276"/>
        <w:ind w:hanging="283" w:start="737"/>
        <w:jc w:val="both"/>
        <w:rPr>
          <w:rFonts w:ascii="Calibri" w:hAnsi="Calibri" w:cs="Calibri"/>
          <w:sz w:val="22"/>
          <w:szCs w:val="22"/>
        </w:rPr>
      </w:pPr>
      <w:r>
        <w:rPr>
          <w:rFonts w:eastAsia="Calibri" w:cs="Calibri" w:ascii="Calibri" w:hAnsi="Calibri"/>
          <w:sz w:val="22"/>
          <w:szCs w:val="22"/>
          <w:lang w:eastAsia="pl-PL"/>
        </w:rPr>
        <w:t>Zamawiającemu przysługuje prawo do odstąpienia od umowy w terminie 30 dni</w:t>
        <w:br/>
        <w:t>od powzięcia wiadomości o przyczynie uzasadniającej odstąpienie:</w:t>
      </w:r>
    </w:p>
    <w:p>
      <w:pPr>
        <w:pStyle w:val="Standard"/>
        <w:numPr>
          <w:ilvl w:val="0"/>
          <w:numId w:val="26"/>
        </w:numPr>
        <w:spacing w:lineRule="auto" w:line="276"/>
        <w:ind w:hanging="425" w:start="1134"/>
        <w:jc w:val="both"/>
        <w:rPr>
          <w:rFonts w:ascii="Calibri" w:hAnsi="Calibri" w:cs="Calibri"/>
          <w:sz w:val="22"/>
          <w:szCs w:val="22"/>
        </w:rPr>
      </w:pPr>
      <w:r>
        <w:rPr>
          <w:rFonts w:eastAsia="Calibri" w:cs="Calibri" w:ascii="Calibri" w:hAnsi="Calibri"/>
          <w:sz w:val="22"/>
          <w:szCs w:val="22"/>
        </w:rPr>
        <w:t xml:space="preserve">w razie wystąpienia istotnej zmiany okoliczności powodującej, że wykonanie umowy </w:t>
        <w:br/>
        <w:t>nie leży w interesie publicznym, czego nie można było przewidzieć w chwili zawarcia umowy,</w:t>
      </w:r>
    </w:p>
    <w:p>
      <w:pPr>
        <w:pStyle w:val="Standard"/>
        <w:numPr>
          <w:ilvl w:val="0"/>
          <w:numId w:val="26"/>
        </w:numPr>
        <w:spacing w:lineRule="auto" w:line="276"/>
        <w:ind w:hanging="425" w:start="1134"/>
        <w:jc w:val="both"/>
        <w:rPr>
          <w:rFonts w:ascii="Calibri" w:hAnsi="Calibri" w:cs="Calibri"/>
          <w:sz w:val="22"/>
          <w:szCs w:val="22"/>
        </w:rPr>
      </w:pPr>
      <w:r>
        <w:rPr>
          <w:rFonts w:eastAsia="Calibri" w:cs="Calibri" w:ascii="Calibri" w:hAnsi="Calibri"/>
          <w:sz w:val="22"/>
          <w:szCs w:val="22"/>
          <w:lang w:eastAsia="pl-PL"/>
        </w:rPr>
        <w:t>gdy</w:t>
      </w:r>
      <w:r>
        <w:rPr>
          <w:rFonts w:eastAsia="Calibri" w:cs="Calibri" w:ascii="Calibri" w:hAnsi="Calibri"/>
          <w:sz w:val="22"/>
          <w:szCs w:val="22"/>
        </w:rPr>
        <w:t xml:space="preserve"> zostanie powzięta informacja o grożącej upadłości Wykonawcy,</w:t>
      </w:r>
    </w:p>
    <w:p>
      <w:pPr>
        <w:pStyle w:val="Standard"/>
        <w:numPr>
          <w:ilvl w:val="0"/>
          <w:numId w:val="26"/>
        </w:numPr>
        <w:spacing w:lineRule="auto" w:line="276"/>
        <w:ind w:hanging="425" w:start="1134"/>
        <w:jc w:val="both"/>
        <w:rPr>
          <w:rFonts w:ascii="Calibri" w:hAnsi="Calibri" w:cs="Calibri"/>
          <w:sz w:val="22"/>
          <w:szCs w:val="22"/>
        </w:rPr>
      </w:pPr>
      <w:r>
        <w:rPr>
          <w:rFonts w:eastAsia="Calibri" w:cs="Calibri" w:ascii="Calibri" w:hAnsi="Calibri"/>
          <w:sz w:val="22"/>
          <w:szCs w:val="22"/>
          <w:lang w:eastAsia="pl-PL"/>
        </w:rPr>
        <w:t>gdy</w:t>
      </w:r>
      <w:r>
        <w:rPr>
          <w:rFonts w:eastAsia="Calibri" w:cs="Calibri" w:ascii="Calibri" w:hAnsi="Calibri"/>
          <w:sz w:val="22"/>
          <w:szCs w:val="22"/>
        </w:rPr>
        <w:t xml:space="preserve"> zostanie wydany nakaz zajęcia majątku Wykonawcy,</w:t>
      </w:r>
    </w:p>
    <w:p>
      <w:pPr>
        <w:pStyle w:val="Standard"/>
        <w:numPr>
          <w:ilvl w:val="0"/>
          <w:numId w:val="26"/>
        </w:numPr>
        <w:spacing w:lineRule="auto" w:line="276"/>
        <w:ind w:hanging="425" w:start="1134"/>
        <w:jc w:val="both"/>
        <w:rPr>
          <w:rFonts w:ascii="Calibri" w:hAnsi="Calibri" w:cs="Calibri"/>
          <w:sz w:val="22"/>
          <w:szCs w:val="22"/>
        </w:rPr>
      </w:pPr>
      <w:r>
        <w:rPr>
          <w:rFonts w:eastAsia="Calibri" w:cs="Calibri" w:ascii="Calibri" w:hAnsi="Calibri"/>
          <w:sz w:val="22"/>
          <w:szCs w:val="22"/>
          <w:lang w:eastAsia="pl-PL"/>
        </w:rPr>
        <w:t>w przypadku, gdy Wykonawca nie rozpoczął robót w ustalonym terminie z przyczyn leżących po stronie Wykonawcy i opóźnienie wynosi co najmniej 14 dni kalendarzowych,</w:t>
      </w:r>
    </w:p>
    <w:p>
      <w:pPr>
        <w:pStyle w:val="Standard"/>
        <w:numPr>
          <w:ilvl w:val="0"/>
          <w:numId w:val="26"/>
        </w:numPr>
        <w:spacing w:lineRule="auto" w:line="276"/>
        <w:ind w:hanging="425" w:start="1134"/>
        <w:jc w:val="both"/>
        <w:rPr>
          <w:rFonts w:ascii="Calibri" w:hAnsi="Calibri" w:cs="Calibri"/>
          <w:sz w:val="22"/>
          <w:szCs w:val="22"/>
        </w:rPr>
      </w:pPr>
      <w:r>
        <w:rPr>
          <w:rFonts w:eastAsia="Calibri" w:cs="Calibri" w:ascii="Calibri" w:hAnsi="Calibri"/>
          <w:sz w:val="22"/>
          <w:szCs w:val="22"/>
          <w:lang w:eastAsia="pl-PL"/>
        </w:rPr>
        <w:t>w przypadku, gdy z przyczyn leżących po stronie Wykonawcy nastąpiła przerwa w realizacji przedmiotu umowy trwająca dłużej niż 14 dni kalendarzowych,</w:t>
      </w:r>
    </w:p>
    <w:p>
      <w:pPr>
        <w:pStyle w:val="Standard"/>
        <w:numPr>
          <w:ilvl w:val="0"/>
          <w:numId w:val="26"/>
        </w:numPr>
        <w:spacing w:lineRule="auto" w:line="276"/>
        <w:ind w:hanging="425" w:start="1134"/>
        <w:jc w:val="both"/>
        <w:rPr>
          <w:rFonts w:ascii="Calibri" w:hAnsi="Calibri" w:cs="Calibri"/>
          <w:sz w:val="22"/>
          <w:szCs w:val="22"/>
        </w:rPr>
      </w:pPr>
      <w:r>
        <w:rPr>
          <w:rFonts w:eastAsia="Calibri" w:cs="Calibri" w:ascii="Calibri" w:hAnsi="Calibri"/>
          <w:sz w:val="22"/>
          <w:szCs w:val="22"/>
          <w:lang w:eastAsia="pl-PL"/>
        </w:rPr>
        <w:t>jeżeli</w:t>
      </w:r>
      <w:r>
        <w:rPr>
          <w:rFonts w:eastAsia="Calibri" w:cs="Calibri" w:ascii="Calibri" w:hAnsi="Calibri"/>
          <w:sz w:val="22"/>
          <w:szCs w:val="22"/>
        </w:rPr>
        <w:t xml:space="preserve"> Wykonawca nie wykonuje robót zgodnie z umową lub nienależycie wykonuje swoje zobowiązania umowne, a w szczególności:</w:t>
      </w:r>
    </w:p>
    <w:p>
      <w:pPr>
        <w:pStyle w:val="Standard"/>
        <w:numPr>
          <w:ilvl w:val="1"/>
          <w:numId w:val="32"/>
        </w:numPr>
        <w:spacing w:lineRule="auto" w:line="276"/>
        <w:jc w:val="both"/>
        <w:rPr>
          <w:rFonts w:ascii="Calibri" w:hAnsi="Calibri" w:cs="Calibri"/>
          <w:sz w:val="22"/>
          <w:szCs w:val="22"/>
        </w:rPr>
      </w:pPr>
      <w:r>
        <w:rPr>
          <w:rFonts w:eastAsia="Calibri" w:cs="Calibri" w:ascii="Calibri" w:hAnsi="Calibri"/>
          <w:sz w:val="22"/>
          <w:szCs w:val="22"/>
          <w:lang w:eastAsia="pl-PL"/>
        </w:rPr>
        <w:t>jeżeli wykonane roboty mają istotne wady, które nie zostały usunięte w wyznaczonym             terminie; Wykonawca realizuje roboty przewidziane niniejszą umową w sposób niezgodny z dokumentacją projektową, SST, wskazaniami Zamawiającego, pomimo pisemnego wezwania Wykonawcy przez Zamawiającego,</w:t>
      </w:r>
    </w:p>
    <w:p>
      <w:pPr>
        <w:pStyle w:val="Standard"/>
        <w:numPr>
          <w:ilvl w:val="1"/>
          <w:numId w:val="32"/>
        </w:numPr>
        <w:spacing w:lineRule="auto" w:line="276"/>
        <w:jc w:val="both"/>
        <w:rPr>
          <w:rFonts w:ascii="Calibri" w:hAnsi="Calibri" w:cs="Calibri"/>
          <w:sz w:val="22"/>
          <w:szCs w:val="22"/>
        </w:rPr>
      </w:pPr>
      <w:r>
        <w:rPr>
          <w:rFonts w:eastAsia="Calibri" w:cs="Calibri" w:ascii="Calibri" w:hAnsi="Calibri"/>
          <w:sz w:val="22"/>
          <w:szCs w:val="22"/>
          <w:lang w:eastAsia="pl-PL"/>
        </w:rPr>
        <w:t>jeżeli Wykonawca w trakcie wykonywania prac nie przestrzega wymogów prawa, zasad wiedzy technicznej, decyzji organów administracji publicznych i wszelkich norm mających zastosowanie do robót budowlanych mimo upływu siedmiu dni terminu od daty pisemnego wezwania Wykonawcy do zaprzestania naruszeń, o ile naruszenie te są wyłącznie zawinione przez Wykonawcę,</w:t>
      </w:r>
    </w:p>
    <w:p>
      <w:pPr>
        <w:pStyle w:val="Standard"/>
        <w:numPr>
          <w:ilvl w:val="0"/>
          <w:numId w:val="26"/>
        </w:numPr>
        <w:spacing w:lineRule="auto" w:line="276"/>
        <w:ind w:hanging="425" w:start="1134"/>
        <w:jc w:val="both"/>
        <w:rPr>
          <w:rFonts w:ascii="Calibri" w:hAnsi="Calibri" w:cs="Calibri"/>
          <w:sz w:val="22"/>
          <w:szCs w:val="22"/>
        </w:rPr>
      </w:pPr>
      <w:r>
        <w:rPr>
          <w:rFonts w:eastAsia="Calibri" w:cs="Calibri" w:ascii="Calibri" w:hAnsi="Calibri"/>
          <w:sz w:val="22"/>
          <w:szCs w:val="22"/>
          <w:lang w:eastAsia="pl-PL"/>
        </w:rPr>
        <w:t>w</w:t>
      </w:r>
      <w:r>
        <w:rPr>
          <w:rFonts w:eastAsia="Calibri" w:cs="Calibri" w:ascii="Calibri" w:hAnsi="Calibri"/>
          <w:sz w:val="22"/>
          <w:szCs w:val="22"/>
        </w:rPr>
        <w:t xml:space="preserve"> przypadku niewywiązywania się z obowiązku wskazanego w § 7 lub zmiany sposobu zatrudnienia osób realizujących czynności określone w SWZ,</w:t>
      </w:r>
    </w:p>
    <w:p>
      <w:pPr>
        <w:pStyle w:val="Standard"/>
        <w:numPr>
          <w:ilvl w:val="0"/>
          <w:numId w:val="26"/>
        </w:numPr>
        <w:spacing w:lineRule="auto" w:line="276"/>
        <w:ind w:hanging="425" w:start="1134"/>
        <w:jc w:val="both"/>
        <w:rPr>
          <w:rFonts w:ascii="Calibri" w:hAnsi="Calibri" w:cs="Calibri"/>
          <w:sz w:val="22"/>
          <w:szCs w:val="22"/>
        </w:rPr>
      </w:pPr>
      <w:r>
        <w:rPr>
          <w:rFonts w:eastAsia="Calibri" w:cs="Calibri" w:ascii="Calibri" w:hAnsi="Calibri"/>
          <w:sz w:val="22"/>
          <w:szCs w:val="22"/>
        </w:rPr>
        <w:t>jeżeli realizacja umowy nie będzie możliwa z powodu stanu epidemii/stanu zagrożenia epidemicznego.</w:t>
      </w:r>
    </w:p>
    <w:p>
      <w:pPr>
        <w:pStyle w:val="Standard"/>
        <w:numPr>
          <w:ilvl w:val="0"/>
          <w:numId w:val="31"/>
        </w:numPr>
        <w:spacing w:lineRule="auto" w:line="276"/>
        <w:ind w:hanging="283" w:start="737"/>
        <w:jc w:val="both"/>
        <w:rPr>
          <w:rFonts w:ascii="Calibri" w:hAnsi="Calibri" w:cs="Calibri"/>
          <w:sz w:val="22"/>
          <w:szCs w:val="22"/>
        </w:rPr>
      </w:pPr>
      <w:r>
        <w:rPr>
          <w:rFonts w:eastAsia="Calibri" w:cs="Calibri" w:ascii="Calibri" w:hAnsi="Calibri"/>
          <w:sz w:val="22"/>
          <w:szCs w:val="22"/>
        </w:rPr>
        <w:t>Wykonawcy przysługuje</w:t>
      </w:r>
      <w:r>
        <w:rPr>
          <w:rFonts w:eastAsia="Calibri" w:cs="Calibri" w:ascii="Calibri" w:hAnsi="Calibri"/>
          <w:sz w:val="22"/>
          <w:szCs w:val="22"/>
          <w:lang w:eastAsia="pl-PL"/>
        </w:rPr>
        <w:t xml:space="preserve"> prawo odstąpienia od umowy, jeżeli Zamawiający nie wywiązuje się z obowiązku zapłaty faktury w terminie 30 dni, od upływu terminu za zapłatę określonego umowie, pomimo dodatkowego wezwania do zapłaty wystawionego na piśmie.</w:t>
      </w:r>
    </w:p>
    <w:p>
      <w:pPr>
        <w:pStyle w:val="Standard"/>
        <w:numPr>
          <w:ilvl w:val="0"/>
          <w:numId w:val="27"/>
        </w:numPr>
        <w:spacing w:lineRule="auto" w:line="276"/>
        <w:ind w:hanging="426" w:start="426"/>
        <w:jc w:val="both"/>
        <w:rPr>
          <w:rFonts w:ascii="Calibri" w:hAnsi="Calibri" w:cs="Calibri"/>
          <w:sz w:val="22"/>
          <w:szCs w:val="22"/>
        </w:rPr>
      </w:pPr>
      <w:r>
        <w:rPr>
          <w:rFonts w:eastAsia="Calibri" w:cs="Calibri" w:ascii="Calibri" w:hAnsi="Calibri"/>
          <w:sz w:val="22"/>
          <w:szCs w:val="22"/>
          <w:lang w:eastAsia="pl-PL"/>
        </w:rPr>
        <w:t>Odstąpienie wywołuje skutki prawne z chwilą doręczenia drugiej stronie oświadczenia</w:t>
        <w:br/>
        <w:t>o odstąpieniu od umowy i będzie wywierało skutek na przyszłość, przy zachowaniu w pełni przez Zamawiającego wszystkich uprawnień nabytych przed dniem odstąpienia,</w:t>
        <w:br/>
        <w:t>w szczególności w zakresie uprawnień z gwarancji jakości, rękojmi i kar umownych.</w:t>
      </w:r>
    </w:p>
    <w:p>
      <w:pPr>
        <w:pStyle w:val="Standard"/>
        <w:numPr>
          <w:ilvl w:val="0"/>
          <w:numId w:val="27"/>
        </w:numPr>
        <w:spacing w:lineRule="auto" w:line="276"/>
        <w:ind w:hanging="426" w:start="426"/>
        <w:jc w:val="both"/>
        <w:rPr>
          <w:rFonts w:ascii="Calibri" w:hAnsi="Calibri" w:cs="Calibri"/>
          <w:sz w:val="22"/>
          <w:szCs w:val="22"/>
        </w:rPr>
      </w:pPr>
      <w:r>
        <w:rPr>
          <w:rFonts w:eastAsia="Calibri" w:cs="Calibri" w:ascii="Calibri" w:hAnsi="Calibri"/>
          <w:sz w:val="22"/>
          <w:szCs w:val="22"/>
          <w:lang w:eastAsia="pl-PL"/>
        </w:rPr>
        <w:t>Odstąpienie</w:t>
      </w:r>
      <w:r>
        <w:rPr>
          <w:rFonts w:eastAsia="Calibri" w:cs="Calibri" w:ascii="Calibri" w:hAnsi="Calibri"/>
          <w:sz w:val="22"/>
          <w:szCs w:val="22"/>
        </w:rPr>
        <w:t xml:space="preserve"> od umowy nastąpi w formie pisemnej z podaniem przyczyny odstąpienia. W razie odstąpienia od Umowy strony obciążają następujące obowiązki:</w:t>
      </w:r>
    </w:p>
    <w:p>
      <w:pPr>
        <w:pStyle w:val="Standard"/>
        <w:numPr>
          <w:ilvl w:val="2"/>
          <w:numId w:val="3"/>
        </w:numPr>
        <w:spacing w:lineRule="auto" w:line="276"/>
        <w:ind w:hanging="360" w:start="851"/>
        <w:jc w:val="both"/>
        <w:rPr>
          <w:rFonts w:ascii="Calibri" w:hAnsi="Calibri" w:cs="Calibri"/>
          <w:sz w:val="22"/>
          <w:szCs w:val="22"/>
        </w:rPr>
      </w:pPr>
      <w:r>
        <w:rPr>
          <w:rFonts w:eastAsia="Calibri" w:cs="Calibri" w:ascii="Calibri" w:hAnsi="Calibri"/>
          <w:sz w:val="22"/>
          <w:szCs w:val="22"/>
        </w:rPr>
        <w:t xml:space="preserve">W </w:t>
      </w:r>
      <w:r>
        <w:rPr>
          <w:rFonts w:eastAsia="Calibri" w:cs="Calibri" w:ascii="Calibri" w:hAnsi="Calibri"/>
          <w:sz w:val="22"/>
          <w:szCs w:val="22"/>
          <w:lang w:eastAsia="pl-PL"/>
        </w:rPr>
        <w:t>terminie</w:t>
      </w:r>
      <w:r>
        <w:rPr>
          <w:rFonts w:eastAsia="Calibri" w:cs="Calibri" w:ascii="Calibri" w:hAnsi="Calibri"/>
          <w:sz w:val="22"/>
          <w:szCs w:val="22"/>
        </w:rPr>
        <w:t xml:space="preserve"> 7 dni od dnia odstąpienia od Umowy Wykonawca przy udziale Zamawiającego oraz innych uczestników przedsięwzięcia inwestycyjnego sporządzi protokół inwentaryzacji robót w toku według stanu na dzień odstąpienia, w protokole tym strony przedłożą zestawienie swoich roszczeń,</w:t>
      </w:r>
    </w:p>
    <w:p>
      <w:pPr>
        <w:pStyle w:val="Standard"/>
        <w:numPr>
          <w:ilvl w:val="2"/>
          <w:numId w:val="3"/>
        </w:numPr>
        <w:spacing w:lineRule="auto" w:line="276"/>
        <w:ind w:hanging="360" w:start="851"/>
        <w:jc w:val="both"/>
        <w:rPr>
          <w:rFonts w:ascii="Calibri" w:hAnsi="Calibri" w:cs="Calibri"/>
          <w:sz w:val="22"/>
          <w:szCs w:val="22"/>
        </w:rPr>
      </w:pPr>
      <w:r>
        <w:rPr>
          <w:rFonts w:eastAsia="Calibri" w:cs="Calibri" w:ascii="Calibri" w:hAnsi="Calibri"/>
          <w:sz w:val="22"/>
          <w:szCs w:val="22"/>
          <w:lang w:eastAsia="pl-PL"/>
        </w:rPr>
        <w:t>Wykonawca zabezpieczy przerwane roboty w zakresie obustronnie uzgodnionym na koszt Strony, która ponosi odpowiedzialność za odstąpienie od Umowy,</w:t>
      </w:r>
    </w:p>
    <w:p>
      <w:pPr>
        <w:pStyle w:val="Standard"/>
        <w:numPr>
          <w:ilvl w:val="2"/>
          <w:numId w:val="3"/>
        </w:numPr>
        <w:spacing w:lineRule="auto" w:line="276"/>
        <w:ind w:hanging="360" w:start="851"/>
        <w:jc w:val="both"/>
        <w:rPr>
          <w:rFonts w:ascii="Calibri" w:hAnsi="Calibri" w:cs="Calibri"/>
          <w:sz w:val="22"/>
          <w:szCs w:val="22"/>
        </w:rPr>
      </w:pPr>
      <w:r>
        <w:rPr>
          <w:rFonts w:eastAsia="Calibri" w:cs="Calibri" w:ascii="Calibri" w:hAnsi="Calibri"/>
          <w:sz w:val="22"/>
          <w:szCs w:val="22"/>
          <w:lang w:eastAsia="pl-PL"/>
        </w:rPr>
        <w:t>Wykonawca niezwłocznie, lecz nie później niż w terminie 14 dni od daty odstąpienia</w:t>
        <w:br/>
        <w:t>od umowy, usunie z terenu budowy i zaplecza urządzenia, materiały oraz sprzęt przez niego dostarczone, niestanowiące własności Zamawiającego,</w:t>
      </w:r>
    </w:p>
    <w:p>
      <w:pPr>
        <w:pStyle w:val="Standard"/>
        <w:numPr>
          <w:ilvl w:val="0"/>
          <w:numId w:val="27"/>
        </w:numPr>
        <w:spacing w:lineRule="auto" w:line="276"/>
        <w:ind w:hanging="426" w:start="426"/>
        <w:jc w:val="both"/>
        <w:rPr>
          <w:rFonts w:ascii="Calibri" w:hAnsi="Calibri" w:cs="Calibri"/>
          <w:sz w:val="22"/>
          <w:szCs w:val="22"/>
        </w:rPr>
      </w:pPr>
      <w:r>
        <w:rPr>
          <w:rFonts w:eastAsia="Calibri" w:cs="Calibri" w:ascii="Calibri" w:hAnsi="Calibri"/>
          <w:sz w:val="22"/>
          <w:szCs w:val="22"/>
          <w:lang w:eastAsia="pl-PL"/>
        </w:rPr>
        <w:t>W sytuacji braku realizacji przez Wykonawcę obowiązków, o których mowa w ust. 3 niniejszego paragrafu, Zamawiający może je wykonać we własnym zakresie lub przez osobę trzecią na koszt Wykonawcy oraz jego ryzyko.</w:t>
      </w:r>
    </w:p>
    <w:p>
      <w:pPr>
        <w:pStyle w:val="Normal"/>
        <w:spacing w:lineRule="auto" w:line="276" w:before="0" w:after="0"/>
        <w:ind w:hanging="431" w:start="431"/>
        <w:jc w:val="center"/>
        <w:rPr>
          <w:rFonts w:ascii="Calibri" w:hAnsi="Calibri" w:cs="Calibri"/>
          <w:b/>
        </w:rPr>
      </w:pPr>
      <w:r>
        <w:rPr>
          <w:rFonts w:eastAsia="Calibri" w:cs="Calibri" w:ascii="Calibri" w:hAnsi="Calibri"/>
          <w:b/>
          <w:lang w:eastAsia="pl-PL"/>
        </w:rPr>
        <w:t>§ 14</w:t>
      </w:r>
    </w:p>
    <w:p>
      <w:pPr>
        <w:pStyle w:val="Normal"/>
        <w:spacing w:lineRule="auto" w:line="276" w:before="0" w:after="0"/>
        <w:ind w:hanging="431" w:start="431"/>
        <w:jc w:val="center"/>
        <w:rPr>
          <w:rFonts w:ascii="Calibri" w:hAnsi="Calibri" w:cs="Calibri"/>
          <w:b/>
        </w:rPr>
      </w:pPr>
      <w:r>
        <w:rPr>
          <w:rFonts w:eastAsia="Calibri" w:cs="Calibri" w:ascii="Calibri" w:hAnsi="Calibri"/>
          <w:b/>
          <w:lang w:eastAsia="pl-PL"/>
        </w:rPr>
        <w:t>Zmiana umowy</w:t>
      </w:r>
    </w:p>
    <w:p>
      <w:pPr>
        <w:pStyle w:val="Normal"/>
        <w:numPr>
          <w:ilvl w:val="0"/>
          <w:numId w:val="10"/>
        </w:numPr>
        <w:spacing w:lineRule="auto" w:line="276" w:before="0" w:after="0"/>
        <w:ind w:hanging="426" w:start="426"/>
        <w:jc w:val="both"/>
        <w:rPr>
          <w:rFonts w:ascii="Calibri" w:hAnsi="Calibri" w:cs="Calibri"/>
        </w:rPr>
      </w:pPr>
      <w:r>
        <w:rPr>
          <w:rFonts w:eastAsia="Calibri" w:cs="Calibri" w:ascii="Calibri" w:hAnsi="Calibri"/>
          <w:lang w:eastAsia="pl-PL"/>
        </w:rPr>
        <w:t>Wszelkie zmiany i uzupełnienia niniejszej umowy mogą być dokonywane jedynie w formie pisemnej w postaci aneksu do umowy podpisanego przez obydwie strony, pod rygorem nieważności.</w:t>
      </w:r>
    </w:p>
    <w:p>
      <w:pPr>
        <w:pStyle w:val="Normal"/>
        <w:numPr>
          <w:ilvl w:val="0"/>
          <w:numId w:val="10"/>
        </w:numPr>
        <w:spacing w:lineRule="auto" w:line="276" w:before="0" w:after="0"/>
        <w:ind w:hanging="426" w:start="426"/>
        <w:jc w:val="both"/>
        <w:rPr>
          <w:rFonts w:ascii="Calibri" w:hAnsi="Calibri" w:cs="Calibri"/>
        </w:rPr>
      </w:pPr>
      <w:r>
        <w:rPr>
          <w:rFonts w:eastAsia="Calibri" w:cs="Calibri" w:ascii="Calibri" w:hAnsi="Calibri"/>
          <w:lang w:eastAsia="pl-PL"/>
        </w:rPr>
        <w:t>Dopuszcza się możliwość dokonania zmian postanowień zawartej umowy w przypadku wystąpienia, co najmniej jednej z okoliczności wymienionych poniżej, w zakresie:</w:t>
      </w:r>
    </w:p>
    <w:p>
      <w:pPr>
        <w:pStyle w:val="ListParagraph"/>
        <w:numPr>
          <w:ilvl w:val="0"/>
          <w:numId w:val="44"/>
        </w:numPr>
        <w:spacing w:lineRule="auto" w:line="276"/>
        <w:ind w:hanging="360" w:start="851"/>
        <w:jc w:val="both"/>
        <w:rPr>
          <w:rFonts w:ascii="Calibri" w:hAnsi="Calibri" w:cs="Calibri"/>
          <w:b/>
          <w:bCs/>
          <w:sz w:val="22"/>
          <w:szCs w:val="22"/>
        </w:rPr>
      </w:pPr>
      <w:r>
        <w:rPr>
          <w:rFonts w:eastAsia="Calibri" w:cs="Calibri" w:ascii="Calibri" w:hAnsi="Calibri"/>
          <w:b/>
          <w:bCs/>
          <w:sz w:val="22"/>
          <w:szCs w:val="22"/>
        </w:rPr>
        <w:t>Zmiany terminu realizacji robót budowlanych i/ lub przedmiotu umowy w przypadku:</w:t>
      </w:r>
    </w:p>
    <w:p>
      <w:pPr>
        <w:pStyle w:val="Normal"/>
        <w:numPr>
          <w:ilvl w:val="0"/>
          <w:numId w:val="11"/>
        </w:numPr>
        <w:tabs>
          <w:tab w:val="clear" w:pos="709"/>
          <w:tab w:val="left" w:pos="1134" w:leader="none"/>
        </w:tabs>
        <w:spacing w:lineRule="auto" w:line="276" w:before="0" w:after="0"/>
        <w:ind w:hanging="426" w:start="1134"/>
        <w:jc w:val="both"/>
        <w:rPr>
          <w:rFonts w:ascii="Calibri" w:hAnsi="Calibri" w:cs="Calibri"/>
        </w:rPr>
      </w:pPr>
      <w:r>
        <w:rPr>
          <w:rFonts w:eastAsia="Calibri" w:cs="Calibri" w:ascii="Calibri" w:hAnsi="Calibri"/>
          <w:lang w:eastAsia="pl-PL"/>
        </w:rPr>
        <w:t>zmiany przepisów powodujących konieczność zastosowania innych rozwiązań niż zakładano w dokumentacji projektowej;</w:t>
      </w:r>
    </w:p>
    <w:p>
      <w:pPr>
        <w:pStyle w:val="Normal"/>
        <w:numPr>
          <w:ilvl w:val="0"/>
          <w:numId w:val="11"/>
        </w:numPr>
        <w:tabs>
          <w:tab w:val="clear" w:pos="709"/>
          <w:tab w:val="left" w:pos="1134" w:leader="none"/>
        </w:tabs>
        <w:spacing w:lineRule="auto" w:line="276" w:before="0" w:after="0"/>
        <w:ind w:hanging="426" w:start="1134"/>
        <w:jc w:val="both"/>
        <w:rPr>
          <w:rFonts w:ascii="Calibri" w:hAnsi="Calibri" w:cs="Calibri"/>
        </w:rPr>
      </w:pPr>
      <w:r>
        <w:rPr>
          <w:rFonts w:eastAsia="Calibri" w:cs="Calibri" w:ascii="Calibri" w:hAnsi="Calibri"/>
          <w:lang w:eastAsia="pl-PL"/>
        </w:rPr>
        <w:t>zmiany przepisów powodujących konieczność uzyskania dodatkowych dokumentów, niezbędnych do realizowania umowy;</w:t>
      </w:r>
    </w:p>
    <w:p>
      <w:pPr>
        <w:pStyle w:val="BodyText"/>
        <w:widowControl w:val="false"/>
        <w:numPr>
          <w:ilvl w:val="0"/>
          <w:numId w:val="11"/>
        </w:numPr>
        <w:tabs>
          <w:tab w:val="clear" w:pos="709"/>
          <w:tab w:val="left" w:pos="1134" w:leader="none"/>
        </w:tabs>
        <w:spacing w:lineRule="auto" w:line="276" w:before="0" w:after="0"/>
        <w:ind w:hanging="491" w:start="1134"/>
        <w:jc w:val="both"/>
        <w:rPr>
          <w:rFonts w:ascii="Calibri" w:hAnsi="Calibri" w:cs="Calibri"/>
          <w:sz w:val="22"/>
          <w:szCs w:val="22"/>
        </w:rPr>
      </w:pPr>
      <w:r>
        <w:rPr>
          <w:rFonts w:eastAsia="Calibri" w:cs="Calibri" w:ascii="Calibri" w:hAnsi="Calibri"/>
          <w:sz w:val="22"/>
          <w:szCs w:val="22"/>
          <w:lang w:eastAsia="ar-SA"/>
        </w:rPr>
        <w:t>w przypadku konieczności usunięcia istotnych błędów lub wprowadzenia istotnych zmian w dokumentacji projektowej, bez dokonania których nie jest możliwe prowadzenie robót przez Wykonawcę;</w:t>
      </w:r>
    </w:p>
    <w:p>
      <w:pPr>
        <w:pStyle w:val="Normal"/>
        <w:numPr>
          <w:ilvl w:val="0"/>
          <w:numId w:val="11"/>
        </w:numPr>
        <w:tabs>
          <w:tab w:val="clear" w:pos="709"/>
          <w:tab w:val="left" w:pos="1134" w:leader="none"/>
        </w:tabs>
        <w:spacing w:lineRule="auto" w:line="276" w:before="0" w:after="0"/>
        <w:ind w:hanging="426" w:start="1134"/>
        <w:jc w:val="both"/>
        <w:rPr>
          <w:rFonts w:ascii="Calibri" w:hAnsi="Calibri" w:cs="Calibri"/>
        </w:rPr>
      </w:pPr>
      <w:r>
        <w:rPr>
          <w:rFonts w:eastAsia="Calibri" w:cs="Calibri" w:ascii="Calibri" w:hAnsi="Calibri"/>
          <w:lang w:eastAsia="pl-PL"/>
        </w:rPr>
        <w:t>gdy zachodzi potrzeba uzyskania dodatkowych uzgodnień, opinii, badań, pozwoleń (np. decyzji zmieniającej pozwolenie na budowę);</w:t>
      </w:r>
    </w:p>
    <w:p>
      <w:pPr>
        <w:pStyle w:val="Normal"/>
        <w:numPr>
          <w:ilvl w:val="0"/>
          <w:numId w:val="11"/>
        </w:numPr>
        <w:tabs>
          <w:tab w:val="clear" w:pos="709"/>
          <w:tab w:val="left" w:pos="1134" w:leader="none"/>
        </w:tabs>
        <w:spacing w:lineRule="auto" w:line="276" w:before="0" w:after="0"/>
        <w:ind w:hanging="425" w:start="1134"/>
        <w:jc w:val="both"/>
        <w:rPr>
          <w:rFonts w:ascii="Calibri" w:hAnsi="Calibri" w:cs="Calibri"/>
        </w:rPr>
      </w:pPr>
      <w:r>
        <w:rPr>
          <w:rFonts w:eastAsia="Calibri" w:cs="Calibri" w:ascii="Calibri" w:hAnsi="Calibri"/>
          <w:lang w:eastAsia="pl-PL"/>
        </w:rPr>
        <w:t>gdy warunki atmosferyczne uniemożliwiają wykonanie robót zgodnie z normami techniczno –budowlanymi lub wskazaniami projektanta w dokumentacji projektowej lub technologią przewidzianą przez producenta;</w:t>
      </w:r>
    </w:p>
    <w:p>
      <w:pPr>
        <w:pStyle w:val="Normal"/>
        <w:numPr>
          <w:ilvl w:val="0"/>
          <w:numId w:val="11"/>
        </w:numPr>
        <w:tabs>
          <w:tab w:val="clear" w:pos="709"/>
          <w:tab w:val="left" w:pos="1134" w:leader="none"/>
        </w:tabs>
        <w:spacing w:lineRule="auto" w:line="276" w:before="0" w:after="0"/>
        <w:ind w:hanging="425" w:start="1134"/>
        <w:jc w:val="both"/>
        <w:rPr>
          <w:rFonts w:ascii="Calibri" w:hAnsi="Calibri" w:cs="Calibri"/>
        </w:rPr>
      </w:pPr>
      <w:r>
        <w:rPr>
          <w:rFonts w:eastAsia="Calibri" w:cs="Calibri" w:ascii="Calibri" w:hAnsi="Calibri"/>
          <w:lang w:eastAsia="pl-PL"/>
        </w:rPr>
        <w:t>natrafienia przez Wykonawcę na urządzenia podziemne lub obiekty uprzednio niezinwentaryzowane uniemożliwiające wykonanie robót w okresie powyżej 10 dni kalendarzowych, co wykaże Wykonawca;</w:t>
      </w:r>
    </w:p>
    <w:p>
      <w:pPr>
        <w:pStyle w:val="Normal"/>
        <w:numPr>
          <w:ilvl w:val="0"/>
          <w:numId w:val="11"/>
        </w:numPr>
        <w:tabs>
          <w:tab w:val="clear" w:pos="709"/>
          <w:tab w:val="left" w:pos="1134" w:leader="none"/>
        </w:tabs>
        <w:spacing w:lineRule="auto" w:line="276" w:before="0" w:after="0"/>
        <w:ind w:hanging="425" w:start="1134"/>
        <w:jc w:val="both"/>
        <w:rPr>
          <w:rFonts w:ascii="Calibri" w:hAnsi="Calibri" w:cs="Calibri"/>
        </w:rPr>
      </w:pPr>
      <w:r>
        <w:rPr>
          <w:rFonts w:eastAsia="Calibri" w:cs="Calibri" w:ascii="Calibri" w:hAnsi="Calibri"/>
          <w:lang w:eastAsia="pl-PL"/>
        </w:rPr>
        <w:t>inne przyczyny zewnętrzne niezależne od Zamawiającego i Wykonawcy skutkujące niemożliwością prowadzenia prac, np.: brak możliwości dojazdu oraz transportu materiałów na teren robót spowodowany awariami, remontami, przebudową dróg dojazdowych oraz protestami mieszkańców z blokadą dróg.</w:t>
      </w:r>
    </w:p>
    <w:p>
      <w:pPr>
        <w:pStyle w:val="ListParagraph"/>
        <w:numPr>
          <w:ilvl w:val="0"/>
          <w:numId w:val="44"/>
        </w:numPr>
        <w:spacing w:lineRule="auto" w:line="276"/>
        <w:ind w:hanging="360" w:start="851"/>
        <w:jc w:val="both"/>
        <w:rPr>
          <w:rFonts w:ascii="Calibri" w:hAnsi="Calibri" w:cs="Calibri"/>
          <w:sz w:val="22"/>
          <w:szCs w:val="22"/>
        </w:rPr>
      </w:pPr>
      <w:r>
        <w:rPr>
          <w:rFonts w:eastAsia="Calibri" w:cs="Calibri" w:ascii="Calibri" w:hAnsi="Calibri"/>
          <w:sz w:val="22"/>
          <w:szCs w:val="22"/>
        </w:rPr>
        <w:t>W przypadku wystąpienia którejkolwiek z okoliczności wymienionych w pkt. 1) termin wykonania umowy może ulec odpowiedniemu przedłużeniu o czas niezbędny do zakończenia wykonania jej przedmiotu w sposób należyty, nie dłużej jednak niż okres trwania tych okoliczności.  Wykonawca nie może żądać zwiększenia wynagrodzenia lub zwrotu kosztów bezpośrednich lub pośrednich spowodowanych przestojem lub dłuższym czasem wykonywania umowy.</w:t>
      </w:r>
    </w:p>
    <w:p>
      <w:pPr>
        <w:pStyle w:val="ListParagraph"/>
        <w:numPr>
          <w:ilvl w:val="0"/>
          <w:numId w:val="44"/>
        </w:numPr>
        <w:spacing w:lineRule="auto" w:line="276"/>
        <w:ind w:hanging="360" w:start="851"/>
        <w:jc w:val="both"/>
        <w:rPr>
          <w:rFonts w:ascii="Calibri" w:hAnsi="Calibri" w:cs="Calibri"/>
          <w:sz w:val="22"/>
          <w:szCs w:val="22"/>
        </w:rPr>
      </w:pPr>
      <w:r>
        <w:rPr>
          <w:rFonts w:eastAsia="Calibri" w:cs="Calibri" w:ascii="Calibri" w:hAnsi="Calibri"/>
          <w:b/>
          <w:bCs/>
          <w:sz w:val="22"/>
          <w:szCs w:val="22"/>
        </w:rPr>
        <w:t xml:space="preserve">Pozostałych zmian: </w:t>
      </w:r>
      <w:r>
        <w:rPr>
          <w:rFonts w:eastAsia="Calibri" w:cs="Calibri" w:ascii="Calibri" w:hAnsi="Calibri"/>
          <w:sz w:val="22"/>
          <w:szCs w:val="22"/>
        </w:rPr>
        <w:t>w przypadku ustawowej zmiany wysokości podatku VAT, dopuszcza się możliwość sporządzenia aneksu do umowy uwzględniającego zmianę wartości umowy z tego tytułu w taki sposób, aby wynagrodzenie netto pozostało bez zmian.</w:t>
      </w:r>
    </w:p>
    <w:p>
      <w:pPr>
        <w:pStyle w:val="ListParagraph"/>
        <w:numPr>
          <w:ilvl w:val="0"/>
          <w:numId w:val="10"/>
        </w:numPr>
        <w:spacing w:lineRule="auto" w:line="276"/>
        <w:ind w:hanging="426" w:start="426"/>
        <w:jc w:val="both"/>
        <w:rPr>
          <w:rFonts w:ascii="Calibri" w:hAnsi="Calibri" w:cs="Calibri"/>
          <w:sz w:val="22"/>
          <w:szCs w:val="22"/>
        </w:rPr>
      </w:pPr>
      <w:r>
        <w:rPr>
          <w:rFonts w:eastAsia="Calibri" w:cs="Calibri" w:ascii="Calibri" w:hAnsi="Calibri"/>
          <w:sz w:val="22"/>
          <w:szCs w:val="22"/>
        </w:rPr>
        <w:t>W oparciu o art. 454 ust. 1 ustawy Pzp zakazuje się zmian postanowień niniejszej umowy w stosunku do treści oferty, na podstawie której dokonano wyboru wykonawcy, chyba że zachodzi co najmniej jedna z następujących okoliczności:</w:t>
      </w:r>
    </w:p>
    <w:p>
      <w:pPr>
        <w:pStyle w:val="ListParagraph"/>
        <w:numPr>
          <w:ilvl w:val="1"/>
          <w:numId w:val="10"/>
        </w:numPr>
        <w:spacing w:lineRule="auto" w:line="276"/>
        <w:ind w:hanging="360" w:start="851"/>
        <w:jc w:val="both"/>
        <w:rPr>
          <w:rFonts w:ascii="Calibri" w:hAnsi="Calibri" w:cs="Calibri"/>
          <w:sz w:val="22"/>
          <w:szCs w:val="22"/>
        </w:rPr>
      </w:pPr>
      <w:r>
        <w:rPr>
          <w:rFonts w:eastAsia="Calibri" w:cs="Calibri" w:ascii="Calibri" w:hAnsi="Calibri"/>
          <w:sz w:val="22"/>
          <w:szCs w:val="22"/>
        </w:rPr>
        <w:t>Zmiany zostały przewidziane w ust. 2 niniejszego paragrafu.</w:t>
      </w:r>
    </w:p>
    <w:p>
      <w:pPr>
        <w:pStyle w:val="ListParagraph"/>
        <w:numPr>
          <w:ilvl w:val="1"/>
          <w:numId w:val="10"/>
        </w:numPr>
        <w:spacing w:lineRule="auto" w:line="276"/>
        <w:ind w:hanging="360" w:start="851"/>
        <w:jc w:val="both"/>
        <w:rPr>
          <w:rFonts w:ascii="Calibri" w:hAnsi="Calibri" w:cs="Calibri"/>
          <w:sz w:val="20"/>
          <w:szCs w:val="20"/>
        </w:rPr>
      </w:pPr>
      <w:r>
        <w:rPr>
          <w:rFonts w:eastAsia="Calibri" w:cs="Calibri" w:ascii="Calibri" w:hAnsi="Calibri"/>
          <w:sz w:val="22"/>
          <w:szCs w:val="22"/>
        </w:rPr>
        <w:t>Zmiany dotyczą realizacji dodatkowych dostaw, usług lub robót budowlanych od dotychczasowego Wykonawcy, nieobjętych zamówieniem podstawowym, o ile stały się niezbędne i zostały spełnione łącznie następujące warunki:</w:t>
      </w:r>
    </w:p>
    <w:p>
      <w:pPr>
        <w:pStyle w:val="Normal"/>
        <w:numPr>
          <w:ilvl w:val="0"/>
          <w:numId w:val="12"/>
        </w:numPr>
        <w:tabs>
          <w:tab w:val="clear" w:pos="709"/>
          <w:tab w:val="left" w:pos="1701" w:leader="none"/>
        </w:tabs>
        <w:spacing w:lineRule="auto" w:line="276" w:before="0" w:after="0"/>
        <w:ind w:hanging="283" w:start="1134"/>
        <w:jc w:val="both"/>
        <w:rPr>
          <w:rFonts w:ascii="Calibri" w:hAnsi="Calibri" w:cs="Calibri"/>
        </w:rPr>
      </w:pPr>
      <w:r>
        <w:rPr>
          <w:rFonts w:eastAsia="Calibri" w:cs="Calibri" w:ascii="Calibri" w:hAnsi="Calibri"/>
          <w:lang w:eastAsia="pl-PL"/>
        </w:rPr>
        <w:t>zmiana Wykonawcy nie może zostać dokonana z powodów ekonomicznych lub technicznych w szczególności dotyczących zamienności lub interoperacyjności sprzętu, usług lub instalacji zamówionych w ramach zamówienia podstawowego,</w:t>
      </w:r>
    </w:p>
    <w:p>
      <w:pPr>
        <w:pStyle w:val="Normal"/>
        <w:numPr>
          <w:ilvl w:val="0"/>
          <w:numId w:val="12"/>
        </w:numPr>
        <w:tabs>
          <w:tab w:val="clear" w:pos="709"/>
          <w:tab w:val="left" w:pos="1701" w:leader="none"/>
        </w:tabs>
        <w:spacing w:lineRule="auto" w:line="276" w:before="0" w:after="0"/>
        <w:ind w:hanging="283" w:start="1134"/>
        <w:jc w:val="both"/>
        <w:rPr>
          <w:rFonts w:ascii="Calibri" w:hAnsi="Calibri" w:cs="Calibri"/>
        </w:rPr>
      </w:pPr>
      <w:r>
        <w:rPr>
          <w:rFonts w:eastAsia="Calibri" w:cs="Calibri" w:ascii="Calibri" w:hAnsi="Calibri"/>
          <w:lang w:eastAsia="pl-PL"/>
        </w:rPr>
        <w:t>zmiana Wykonawcy spowodowałaby istotną niezgodność lub znaczne zwiększenie kosztów dla Zamawiającego,</w:t>
      </w:r>
    </w:p>
    <w:p>
      <w:pPr>
        <w:pStyle w:val="Normal"/>
        <w:numPr>
          <w:ilvl w:val="0"/>
          <w:numId w:val="12"/>
        </w:numPr>
        <w:tabs>
          <w:tab w:val="clear" w:pos="709"/>
          <w:tab w:val="left" w:pos="1701" w:leader="none"/>
        </w:tabs>
        <w:spacing w:lineRule="auto" w:line="276" w:before="0" w:after="0"/>
        <w:ind w:hanging="283" w:start="1134"/>
        <w:jc w:val="both"/>
        <w:rPr>
          <w:rFonts w:ascii="Calibri" w:hAnsi="Calibri" w:cs="Calibri"/>
        </w:rPr>
      </w:pPr>
      <w:r>
        <w:rPr>
          <w:rFonts w:eastAsia="Calibri" w:cs="Calibri" w:ascii="Calibri" w:hAnsi="Calibri"/>
          <w:lang w:eastAsia="pl-PL"/>
        </w:rPr>
        <w:t>wzrost ceny spowodowany każdą kolejną zmianą nie przekraczającą 50% wartości zamówienia określonej pierwotnie w umowie.</w:t>
      </w:r>
    </w:p>
    <w:p>
      <w:pPr>
        <w:pStyle w:val="Normal"/>
        <w:numPr>
          <w:ilvl w:val="1"/>
          <w:numId w:val="10"/>
        </w:numPr>
        <w:tabs>
          <w:tab w:val="clear" w:pos="709"/>
          <w:tab w:val="left" w:pos="1134" w:leader="none"/>
        </w:tabs>
        <w:spacing w:lineRule="auto" w:line="276" w:before="0" w:after="0"/>
        <w:ind w:hanging="284" w:start="851" w:end="57"/>
        <w:jc w:val="both"/>
        <w:rPr>
          <w:rFonts w:ascii="Calibri" w:hAnsi="Calibri" w:cs="Calibri"/>
        </w:rPr>
      </w:pPr>
      <w:r>
        <w:rPr>
          <w:rFonts w:eastAsia="Calibri" w:cs="Calibri" w:ascii="Calibri" w:hAnsi="Calibri"/>
          <w:lang w:eastAsia="pl-PL"/>
        </w:rPr>
        <w:t>Zostały spełnione łącznie następujące warunki:</w:t>
      </w:r>
    </w:p>
    <w:p>
      <w:pPr>
        <w:pStyle w:val="Normal"/>
        <w:numPr>
          <w:ilvl w:val="1"/>
          <w:numId w:val="13"/>
        </w:numPr>
        <w:tabs>
          <w:tab w:val="clear" w:pos="709"/>
          <w:tab w:val="left" w:pos="1701" w:leader="none"/>
        </w:tabs>
        <w:spacing w:lineRule="auto" w:line="276" w:before="0" w:after="0"/>
        <w:ind w:hanging="283" w:start="1134"/>
        <w:jc w:val="both"/>
        <w:rPr>
          <w:rFonts w:ascii="Calibri" w:hAnsi="Calibri" w:cs="Calibri"/>
        </w:rPr>
      </w:pPr>
      <w:r>
        <w:rPr>
          <w:rFonts w:eastAsia="Calibri" w:cs="Calibri" w:ascii="Calibri" w:hAnsi="Calibri"/>
          <w:lang w:eastAsia="pl-PL"/>
        </w:rPr>
        <w:t>konieczność zmiany umowy spowodowana jest okolicznościami, których Zamawiający, działając z należytą starannością, nie mógł przewidzieć,</w:t>
      </w:r>
    </w:p>
    <w:p>
      <w:pPr>
        <w:pStyle w:val="Normal"/>
        <w:numPr>
          <w:ilvl w:val="1"/>
          <w:numId w:val="13"/>
        </w:numPr>
        <w:tabs>
          <w:tab w:val="clear" w:pos="709"/>
          <w:tab w:val="left" w:pos="1701" w:leader="none"/>
        </w:tabs>
        <w:spacing w:lineRule="auto" w:line="276" w:before="0" w:after="0"/>
        <w:ind w:hanging="283" w:start="1134"/>
        <w:jc w:val="both"/>
        <w:rPr>
          <w:rFonts w:ascii="Calibri" w:hAnsi="Calibri" w:cs="Calibri"/>
        </w:rPr>
      </w:pPr>
      <w:r>
        <w:rPr>
          <w:rFonts w:eastAsia="Calibri" w:cs="Calibri" w:ascii="Calibri" w:hAnsi="Calibri"/>
          <w:lang w:eastAsia="pl-PL"/>
        </w:rPr>
        <w:t>wartość zmiany nie przekracza 50% wartości zamówienia określonej pierwotnie w umowie.</w:t>
      </w:r>
    </w:p>
    <w:p>
      <w:pPr>
        <w:pStyle w:val="Normal"/>
        <w:numPr>
          <w:ilvl w:val="1"/>
          <w:numId w:val="10"/>
        </w:numPr>
        <w:tabs>
          <w:tab w:val="clear" w:pos="709"/>
          <w:tab w:val="left" w:pos="1701" w:leader="none"/>
        </w:tabs>
        <w:spacing w:lineRule="auto" w:line="276" w:before="0" w:after="0"/>
        <w:ind w:hanging="284" w:start="851" w:end="57"/>
        <w:jc w:val="both"/>
        <w:rPr>
          <w:rFonts w:ascii="Calibri" w:hAnsi="Calibri" w:cs="Calibri"/>
        </w:rPr>
      </w:pPr>
      <w:r>
        <w:rPr>
          <w:rFonts w:eastAsia="Calibri" w:cs="Calibri" w:ascii="Calibri" w:hAnsi="Calibri"/>
          <w:lang w:eastAsia="pl-PL"/>
        </w:rPr>
        <w:t>Wykonawcę, któremu Zamawiający udzielił zamówienia, ma zastąpić nowy Wykonawca:</w:t>
      </w:r>
    </w:p>
    <w:p>
      <w:pPr>
        <w:pStyle w:val="Normal"/>
        <w:numPr>
          <w:ilvl w:val="1"/>
          <w:numId w:val="14"/>
        </w:numPr>
        <w:tabs>
          <w:tab w:val="clear" w:pos="709"/>
          <w:tab w:val="left" w:pos="1560" w:leader="none"/>
          <w:tab w:val="left" w:pos="1985" w:leader="none"/>
        </w:tabs>
        <w:spacing w:lineRule="auto" w:line="276" w:before="0" w:after="0"/>
        <w:ind w:hanging="283" w:start="1134"/>
        <w:jc w:val="both"/>
        <w:rPr>
          <w:rFonts w:ascii="Calibri" w:hAnsi="Calibri" w:cs="Calibri"/>
        </w:rPr>
      </w:pPr>
      <w:r>
        <w:rPr>
          <w:rFonts w:eastAsia="Calibri" w:cs="Calibri" w:ascii="Calibri" w:hAnsi="Calibri"/>
          <w:lang w:eastAsia="pl-PL"/>
        </w:rPr>
        <w:t>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pPr>
        <w:pStyle w:val="Normal"/>
        <w:numPr>
          <w:ilvl w:val="1"/>
          <w:numId w:val="14"/>
        </w:numPr>
        <w:tabs>
          <w:tab w:val="clear" w:pos="709"/>
          <w:tab w:val="left" w:pos="1560" w:leader="none"/>
          <w:tab w:val="left" w:pos="1985" w:leader="none"/>
        </w:tabs>
        <w:spacing w:lineRule="auto" w:line="276" w:before="0" w:after="0"/>
        <w:ind w:hanging="283" w:start="1134"/>
        <w:rPr>
          <w:rFonts w:ascii="Calibri" w:hAnsi="Calibri" w:cs="Calibri"/>
        </w:rPr>
      </w:pPr>
      <w:r>
        <w:rPr>
          <w:rFonts w:eastAsia="Calibri" w:cs="Calibri" w:ascii="Calibri" w:hAnsi="Calibri"/>
          <w:lang w:eastAsia="pl-PL"/>
        </w:rPr>
        <w:t>w wyniku przejęcia przez Zamawiającego zobowiązań Wykonawcy względem jego podwykonawców, w przypadku, o którym mowa w art. 456 ust. 1 ustawy prawo zamówień publicznych</w:t>
      </w:r>
    </w:p>
    <w:p>
      <w:pPr>
        <w:pStyle w:val="Normal"/>
        <w:numPr>
          <w:ilvl w:val="1"/>
          <w:numId w:val="10"/>
        </w:numPr>
        <w:spacing w:lineRule="auto" w:line="276" w:before="0" w:after="0"/>
        <w:ind w:hanging="284" w:start="851"/>
        <w:jc w:val="both"/>
        <w:rPr>
          <w:rFonts w:ascii="Calibri" w:hAnsi="Calibri" w:cs="Calibri"/>
        </w:rPr>
      </w:pPr>
      <w:r>
        <w:rPr>
          <w:rFonts w:eastAsia="Calibri" w:cs="Calibri" w:ascii="Calibri" w:hAnsi="Calibri"/>
          <w:lang w:eastAsia="pl-PL"/>
        </w:rPr>
        <w:t xml:space="preserve">Łączna wartość zmian jest mniejsza niż kwoty określone w przepisach wydanych na podstawie art.455 ust. 2 ustawy Pzp i jest mniejsza od 10% wartości zamówienia określonej pierwotnie w umowie w przypadku zamówień na usługi lub dostawy albo w przypadku zamówień </w:t>
        <w:br/>
        <w:t xml:space="preserve">na roboty budowlane jest mniejsza od 15% wartości zamówienia określonej pierwotnie </w:t>
        <w:br/>
        <w:t>w umowie, a zmiany te nie powodują zmiany ogólnego charakteru umowy.</w:t>
      </w:r>
    </w:p>
    <w:p>
      <w:pPr>
        <w:pStyle w:val="Normal"/>
        <w:spacing w:lineRule="auto" w:line="276" w:before="0" w:after="0"/>
        <w:ind w:start="851"/>
        <w:jc w:val="both"/>
        <w:rPr>
          <w:rFonts w:ascii="Calibri" w:hAnsi="Calibri" w:cs="Calibri"/>
        </w:rPr>
      </w:pPr>
      <w:r>
        <w:rPr>
          <w:rFonts w:cs="Calibri" w:ascii="Calibri" w:hAnsi="Calibri"/>
        </w:rPr>
      </w:r>
    </w:p>
    <w:p>
      <w:pPr>
        <w:pStyle w:val="Normal"/>
        <w:spacing w:lineRule="auto" w:line="276" w:before="0" w:after="0"/>
        <w:ind w:hanging="431" w:start="431"/>
        <w:jc w:val="center"/>
        <w:rPr>
          <w:rFonts w:ascii="Calibri" w:hAnsi="Calibri" w:cs="Calibri"/>
          <w:b/>
        </w:rPr>
      </w:pPr>
      <w:r>
        <w:rPr>
          <w:rFonts w:eastAsia="Calibri" w:cs="Calibri" w:ascii="Calibri" w:hAnsi="Calibri"/>
          <w:b/>
          <w:lang w:eastAsia="pl-PL"/>
        </w:rPr>
        <w:t>§ 15</w:t>
      </w:r>
    </w:p>
    <w:p>
      <w:pPr>
        <w:pStyle w:val="Normal"/>
        <w:spacing w:lineRule="auto" w:line="276" w:before="0" w:after="0"/>
        <w:ind w:hanging="431" w:start="431"/>
        <w:jc w:val="center"/>
        <w:rPr>
          <w:rFonts w:ascii="Calibri" w:hAnsi="Calibri" w:cs="Calibri"/>
          <w:b/>
        </w:rPr>
      </w:pPr>
      <w:r>
        <w:rPr>
          <w:rFonts w:eastAsia="Calibri" w:cs="Calibri" w:ascii="Calibri" w:hAnsi="Calibri"/>
          <w:b/>
          <w:lang w:eastAsia="pl-PL"/>
        </w:rPr>
        <w:t>Przetwarzanie danych osobowych</w:t>
      </w:r>
    </w:p>
    <w:p>
      <w:pPr>
        <w:pStyle w:val="Normal"/>
        <w:numPr>
          <w:ilvl w:val="0"/>
          <w:numId w:val="15"/>
        </w:numPr>
        <w:spacing w:lineRule="auto" w:line="276" w:before="0" w:after="0"/>
        <w:ind w:hanging="425" w:start="425"/>
        <w:jc w:val="both"/>
        <w:rPr>
          <w:rFonts w:ascii="Calibri" w:hAnsi="Calibri" w:cs="Calibri"/>
        </w:rPr>
      </w:pPr>
      <w:r>
        <w:rPr>
          <w:rFonts w:eastAsia="Calibri" w:cs="Calibri" w:ascii="Calibri" w:hAnsi="Calibri"/>
        </w:rPr>
        <w:t xml:space="preserve">Wszelkie dane osobowe pozyskane przez Administratora w związku z niniejszą umową będą przetwarzane wyłącznie na potrzeby realizacji umowy oraz chronić je będą przed dostępem osób nieupoważnionych, zgodnie z obowiązującymi przepisami o ochronie danych osobowych – zgodnie z Rozporządzeniem Parlamentu Europejskiego i Rady (UE) 2016/679 z dnia 27 kwietnia 2016 r. </w:t>
        <w:br/>
        <w:t xml:space="preserve">w sprawie ochrony osób fizycznych  w związku z przetwarzaniem danych osobowych i w sprawie swobodnego przepływu takich danych oraz uchylenia dyrektywy 95/46/WE (ogólne rozporządzenie o ochronie danych) (dalej: RODO). </w:t>
      </w:r>
    </w:p>
    <w:p>
      <w:pPr>
        <w:pStyle w:val="Normal"/>
        <w:numPr>
          <w:ilvl w:val="0"/>
          <w:numId w:val="15"/>
        </w:numPr>
        <w:spacing w:lineRule="auto" w:line="276" w:before="0" w:after="0"/>
        <w:ind w:hanging="425" w:start="425"/>
        <w:jc w:val="both"/>
        <w:rPr>
          <w:rFonts w:ascii="Calibri" w:hAnsi="Calibri" w:cs="Calibri"/>
        </w:rPr>
      </w:pPr>
      <w:r>
        <w:rPr>
          <w:rFonts w:eastAsia="Calibri" w:cs="Calibri" w:ascii="Calibri" w:hAnsi="Calibri"/>
        </w:rPr>
        <w:t>Strony jako Administratorzy Danych Osobowych oświadczają, że wprowadziły odpowiednie środki techniczne i organizacyjne, aby przetwarzanie odbyło się zgodnie z przepisami RODO.</w:t>
      </w:r>
    </w:p>
    <w:p>
      <w:pPr>
        <w:pStyle w:val="Normal"/>
        <w:numPr>
          <w:ilvl w:val="0"/>
          <w:numId w:val="15"/>
        </w:numPr>
        <w:spacing w:lineRule="auto" w:line="276" w:before="0" w:after="0"/>
        <w:ind w:hanging="425" w:start="425"/>
        <w:jc w:val="both"/>
        <w:rPr>
          <w:rFonts w:ascii="Calibri" w:hAnsi="Calibri" w:cs="Calibri"/>
        </w:rPr>
      </w:pPr>
      <w:r>
        <w:rPr>
          <w:rFonts w:eastAsia="Calibri" w:cs="Calibri" w:ascii="Calibri" w:hAnsi="Calibri"/>
        </w:rPr>
        <w:t xml:space="preserve">Strony zobowiązują się do przetwarzania danych osobowych osób reprezentujących stronę, pracowników wyznaczonych do kontaktu między stronami tylko w celu i w czasookresie niezbędnym, do realizacji niniejszej umowy. Administrator wyznaczył Inspektora Ochrony Danych, wszyscy pracownicy zostali przeszkoleni z zakresu ochrony danych osobowych, każdy pracownik zobowiązał się do zachowania poufności i tajemnicy. Pracownicy zostali upoważnieni </w:t>
        <w:br/>
        <w:t>do przetwarzania danych osobowych.</w:t>
      </w:r>
    </w:p>
    <w:p>
      <w:pPr>
        <w:pStyle w:val="Normal"/>
        <w:numPr>
          <w:ilvl w:val="0"/>
          <w:numId w:val="15"/>
        </w:numPr>
        <w:spacing w:lineRule="auto" w:line="276" w:before="0" w:after="0"/>
        <w:ind w:hanging="425" w:start="425"/>
        <w:jc w:val="both"/>
        <w:rPr>
          <w:rFonts w:ascii="Calibri" w:hAnsi="Calibri" w:cs="Calibri"/>
        </w:rPr>
      </w:pPr>
      <w:r>
        <w:rPr>
          <w:rFonts w:eastAsia="Calibri" w:cs="Calibri" w:ascii="Calibri" w:hAnsi="Calibri"/>
        </w:rPr>
        <w:t>Strony będą przetwarzać dane osób reprezentujących stronę umowy, dane kontaktowe osób zaangażowanych w realizację niniejszej umowy i zobowiązują się do wykonania obowiązku informacyjnego (art.14. RODO) wobec tych osób w imieniu drugiej Strony.</w:t>
      </w:r>
    </w:p>
    <w:p>
      <w:pPr>
        <w:pStyle w:val="Normal"/>
        <w:numPr>
          <w:ilvl w:val="0"/>
          <w:numId w:val="15"/>
        </w:numPr>
        <w:spacing w:lineRule="auto" w:line="276" w:before="0" w:after="0"/>
        <w:ind w:hanging="425" w:start="425"/>
        <w:jc w:val="both"/>
        <w:rPr>
          <w:rFonts w:ascii="Calibri" w:hAnsi="Calibri" w:cs="Calibri"/>
        </w:rPr>
      </w:pPr>
      <w:r>
        <w:rPr>
          <w:rFonts w:cs="Calibri" w:ascii="Calibri" w:hAnsi="Calibri"/>
        </w:rPr>
      </w:r>
    </w:p>
    <w:p>
      <w:pPr>
        <w:pStyle w:val="Normal"/>
        <w:spacing w:lineRule="auto" w:line="276" w:before="0" w:after="0"/>
        <w:ind w:hanging="431" w:start="431"/>
        <w:jc w:val="center"/>
        <w:rPr>
          <w:rFonts w:ascii="Calibri" w:hAnsi="Calibri" w:cs="Calibri"/>
          <w:b/>
        </w:rPr>
      </w:pPr>
      <w:bookmarkStart w:id="1" w:name="_Hlk104404680"/>
      <w:r>
        <w:rPr>
          <w:rFonts w:eastAsia="Calibri" w:cs="Calibri" w:ascii="Calibri" w:hAnsi="Calibri"/>
          <w:b/>
          <w:lang w:eastAsia="pl-PL"/>
        </w:rPr>
        <w:t>§ 16</w:t>
      </w:r>
      <w:bookmarkEnd w:id="1"/>
    </w:p>
    <w:p>
      <w:pPr>
        <w:pStyle w:val="Normal"/>
        <w:spacing w:lineRule="auto" w:line="276" w:before="0" w:after="0"/>
        <w:ind w:hanging="431" w:start="431"/>
        <w:jc w:val="center"/>
        <w:rPr>
          <w:rFonts w:ascii="Calibri" w:hAnsi="Calibri" w:cs="Calibri"/>
          <w:b/>
        </w:rPr>
      </w:pPr>
      <w:r>
        <w:rPr>
          <w:rFonts w:eastAsia="Calibri" w:cs="Calibri" w:ascii="Calibri" w:hAnsi="Calibri"/>
          <w:b/>
          <w:lang w:eastAsia="pl-PL"/>
        </w:rPr>
        <w:t>Postanowienia końcowe</w:t>
      </w:r>
    </w:p>
    <w:p>
      <w:pPr>
        <w:pStyle w:val="Standard"/>
        <w:numPr>
          <w:ilvl w:val="0"/>
          <w:numId w:val="33"/>
        </w:numPr>
        <w:spacing w:lineRule="auto" w:line="276"/>
        <w:ind w:hanging="426" w:start="426"/>
        <w:jc w:val="both"/>
        <w:rPr>
          <w:rFonts w:ascii="Calibri" w:hAnsi="Calibri" w:cs="Calibri"/>
          <w:sz w:val="22"/>
          <w:szCs w:val="22"/>
        </w:rPr>
      </w:pPr>
      <w:r>
        <w:rPr>
          <w:rFonts w:eastAsia="Calibri" w:cs="Calibri" w:ascii="Calibri" w:hAnsi="Calibri"/>
          <w:sz w:val="22"/>
          <w:szCs w:val="22"/>
        </w:rPr>
        <w:t xml:space="preserve">W przypadku Umowy zawartej w formie pisemnej: </w:t>
      </w:r>
    </w:p>
    <w:p>
      <w:pPr>
        <w:pStyle w:val="Standard"/>
        <w:numPr>
          <w:ilvl w:val="1"/>
          <w:numId w:val="35"/>
        </w:numPr>
        <w:spacing w:lineRule="auto" w:line="276"/>
        <w:ind w:hanging="360" w:start="851"/>
        <w:jc w:val="both"/>
        <w:rPr>
          <w:rFonts w:ascii="Calibri" w:hAnsi="Calibri" w:cs="Calibri"/>
          <w:sz w:val="22"/>
          <w:szCs w:val="22"/>
        </w:rPr>
      </w:pPr>
      <w:r>
        <w:rPr>
          <w:rFonts w:eastAsia="Calibri" w:cs="Calibri" w:ascii="Calibri" w:hAnsi="Calibri"/>
          <w:sz w:val="22"/>
          <w:szCs w:val="22"/>
        </w:rPr>
        <w:t xml:space="preserve">Umowa została sporządzona w 3 jednobrzmiących egzemplarzach: 1 egzemplarz </w:t>
        <w:br/>
        <w:t xml:space="preserve">dla Wykonawcy oraz 2  dla Zamawiającego. </w:t>
      </w:r>
    </w:p>
    <w:p>
      <w:pPr>
        <w:pStyle w:val="Standard"/>
        <w:numPr>
          <w:ilvl w:val="1"/>
          <w:numId w:val="35"/>
        </w:numPr>
        <w:spacing w:lineRule="auto" w:line="276"/>
        <w:ind w:hanging="360" w:start="851"/>
        <w:jc w:val="both"/>
        <w:rPr>
          <w:rFonts w:ascii="Calibri" w:hAnsi="Calibri" w:cs="Calibri"/>
          <w:sz w:val="22"/>
          <w:szCs w:val="22"/>
        </w:rPr>
      </w:pPr>
      <w:r>
        <w:rPr>
          <w:rFonts w:eastAsia="Calibri" w:cs="Calibri" w:ascii="Calibri" w:hAnsi="Calibri"/>
          <w:sz w:val="22"/>
          <w:szCs w:val="22"/>
        </w:rPr>
        <w:t xml:space="preserve">Wszelkie zmiany Umowy dla swej ważności wymagają zachowania formy pisemnej i podpisów obydwu Stron pod rygorem nieważności. </w:t>
      </w:r>
    </w:p>
    <w:p>
      <w:pPr>
        <w:pStyle w:val="Standard"/>
        <w:numPr>
          <w:ilvl w:val="1"/>
          <w:numId w:val="35"/>
        </w:numPr>
        <w:spacing w:lineRule="auto" w:line="276"/>
        <w:ind w:hanging="360" w:start="851"/>
        <w:jc w:val="both"/>
        <w:rPr>
          <w:rFonts w:ascii="Calibri" w:hAnsi="Calibri" w:cs="Calibri"/>
          <w:sz w:val="22"/>
          <w:szCs w:val="22"/>
        </w:rPr>
      </w:pPr>
      <w:r>
        <w:rPr>
          <w:rFonts w:eastAsia="Calibri" w:cs="Calibri" w:ascii="Calibri" w:hAnsi="Calibri"/>
          <w:sz w:val="22"/>
          <w:szCs w:val="22"/>
        </w:rPr>
        <w:t xml:space="preserve">Wszelkie zawiadomienia, informacje i wezwania wysyłane przez Strony w związku </w:t>
        <w:br/>
        <w:t xml:space="preserve">z wykonaniem Umowy, dla wywołania skutków prawnych wymagają formy pisemnej lub elektronicznej i potwierdzenia ich doręczenia drugiej Stronie. </w:t>
      </w:r>
    </w:p>
    <w:p>
      <w:pPr>
        <w:pStyle w:val="Standard"/>
        <w:numPr>
          <w:ilvl w:val="0"/>
          <w:numId w:val="33"/>
        </w:numPr>
        <w:spacing w:lineRule="auto" w:line="276"/>
        <w:ind w:hanging="426" w:start="426"/>
        <w:jc w:val="both"/>
        <w:rPr>
          <w:rFonts w:ascii="Calibri" w:hAnsi="Calibri" w:cs="Calibri"/>
          <w:sz w:val="22"/>
          <w:szCs w:val="22"/>
        </w:rPr>
      </w:pPr>
      <w:r>
        <w:rPr>
          <w:rFonts w:eastAsia="Calibri" w:cs="Calibri" w:ascii="Calibri" w:hAnsi="Calibri"/>
          <w:sz w:val="22"/>
          <w:szCs w:val="22"/>
        </w:rPr>
        <w:t xml:space="preserve">W przypadku Umowy zawartej w formie elektronicznej: </w:t>
      </w:r>
    </w:p>
    <w:p>
      <w:pPr>
        <w:pStyle w:val="Standard"/>
        <w:numPr>
          <w:ilvl w:val="1"/>
          <w:numId w:val="34"/>
        </w:numPr>
        <w:spacing w:lineRule="auto" w:line="276"/>
        <w:ind w:hanging="360" w:start="851"/>
        <w:jc w:val="both"/>
        <w:rPr>
          <w:rFonts w:ascii="Calibri" w:hAnsi="Calibri" w:cs="Calibri"/>
          <w:sz w:val="22"/>
          <w:szCs w:val="22"/>
        </w:rPr>
      </w:pPr>
      <w:r>
        <w:rPr>
          <w:rFonts w:eastAsia="Calibri" w:cs="Calibri" w:ascii="Calibri" w:hAnsi="Calibri"/>
          <w:sz w:val="22"/>
          <w:szCs w:val="22"/>
        </w:rPr>
        <w:t xml:space="preserve">Umowa została sporządzona w jednym egzemplarzu. </w:t>
      </w:r>
    </w:p>
    <w:p>
      <w:pPr>
        <w:pStyle w:val="Standard"/>
        <w:numPr>
          <w:ilvl w:val="1"/>
          <w:numId w:val="34"/>
        </w:numPr>
        <w:spacing w:lineRule="auto" w:line="276"/>
        <w:ind w:hanging="360" w:start="851"/>
        <w:jc w:val="both"/>
        <w:rPr>
          <w:rFonts w:ascii="Calibri" w:hAnsi="Calibri" w:cs="Calibri"/>
          <w:sz w:val="22"/>
          <w:szCs w:val="22"/>
        </w:rPr>
      </w:pPr>
      <w:r>
        <w:rPr>
          <w:rFonts w:eastAsia="Calibri" w:cs="Calibri" w:ascii="Calibri" w:hAnsi="Calibri"/>
          <w:sz w:val="22"/>
          <w:szCs w:val="22"/>
        </w:rPr>
        <w:t xml:space="preserve">Umowa została zawarta z chwilą złożenia ostatniego z podpisów elektronicznych stosownie do wskazania znacznika czasu ujawnionego w szczegółach dokumentu zawartego w postaci elektronicznej. </w:t>
      </w:r>
    </w:p>
    <w:p>
      <w:pPr>
        <w:pStyle w:val="Standard"/>
        <w:numPr>
          <w:ilvl w:val="1"/>
          <w:numId w:val="34"/>
        </w:numPr>
        <w:spacing w:lineRule="auto" w:line="276"/>
        <w:ind w:hanging="360" w:start="851"/>
        <w:jc w:val="both"/>
        <w:rPr>
          <w:rFonts w:ascii="Calibri" w:hAnsi="Calibri" w:cs="Calibri"/>
          <w:sz w:val="22"/>
          <w:szCs w:val="22"/>
        </w:rPr>
      </w:pPr>
      <w:r>
        <w:rPr>
          <w:rFonts w:eastAsia="Calibri" w:cs="Calibri" w:ascii="Calibri" w:hAnsi="Calibri"/>
          <w:sz w:val="22"/>
          <w:szCs w:val="22"/>
        </w:rPr>
        <w:t xml:space="preserve">Wszelkie zmiany Umowy dla swej ważności wymagają podpisu elektronicznego obu Stron. </w:t>
      </w:r>
    </w:p>
    <w:p>
      <w:pPr>
        <w:pStyle w:val="Standard"/>
        <w:numPr>
          <w:ilvl w:val="1"/>
          <w:numId w:val="34"/>
        </w:numPr>
        <w:spacing w:lineRule="auto" w:line="276"/>
        <w:ind w:hanging="360" w:start="851"/>
        <w:jc w:val="both"/>
        <w:rPr>
          <w:rFonts w:ascii="Calibri" w:hAnsi="Calibri" w:cs="Calibri"/>
          <w:sz w:val="22"/>
          <w:szCs w:val="22"/>
        </w:rPr>
      </w:pPr>
      <w:r>
        <w:rPr>
          <w:rFonts w:eastAsia="Calibri" w:cs="Calibri" w:ascii="Calibri" w:hAnsi="Calibri"/>
          <w:sz w:val="22"/>
          <w:szCs w:val="22"/>
        </w:rPr>
        <w:t xml:space="preserve">Wszelkie zawiadomienia, informacje i wezwania wysyłane przez Strony w związku </w:t>
        <w:br/>
        <w:t>z wykonaniem Umowy, dla wywołania skutków prawnych wymagają formy elektronicznej lub pisemnej i potwierdzenia ich doręczenia drugiej Stronie.</w:t>
      </w:r>
    </w:p>
    <w:p>
      <w:pPr>
        <w:pStyle w:val="Standard"/>
        <w:numPr>
          <w:ilvl w:val="0"/>
          <w:numId w:val="33"/>
        </w:numPr>
        <w:spacing w:lineRule="auto" w:line="276"/>
        <w:ind w:hanging="426" w:start="426"/>
        <w:jc w:val="both"/>
        <w:rPr>
          <w:rFonts w:ascii="Calibri" w:hAnsi="Calibri" w:cs="Calibri"/>
          <w:sz w:val="22"/>
          <w:szCs w:val="22"/>
        </w:rPr>
      </w:pPr>
      <w:r>
        <w:rPr>
          <w:rFonts w:eastAsia="Calibri" w:cs="Calibri" w:ascii="Calibri" w:hAnsi="Calibri"/>
          <w:sz w:val="22"/>
          <w:szCs w:val="22"/>
        </w:rPr>
        <w:t>W</w:t>
      </w:r>
      <w:r>
        <w:rPr>
          <w:rFonts w:eastAsia="Calibri" w:cs="Calibri" w:ascii="Calibri" w:hAnsi="Calibri"/>
          <w:sz w:val="22"/>
          <w:szCs w:val="22"/>
          <w:lang w:eastAsia="pl-PL"/>
        </w:rPr>
        <w:t>szelkie</w:t>
      </w:r>
      <w:r>
        <w:rPr>
          <w:rFonts w:eastAsia="Calibri" w:cs="Calibri" w:ascii="Calibri" w:hAnsi="Calibri"/>
          <w:sz w:val="22"/>
          <w:szCs w:val="22"/>
        </w:rPr>
        <w:t xml:space="preserve"> zmiany i uzupełnienia niniejszej Umowy wymagają zachowanie formy pisemnej</w:t>
        <w:br/>
        <w:t>pod rygorem nieważności.</w:t>
      </w:r>
    </w:p>
    <w:p>
      <w:pPr>
        <w:pStyle w:val="Standard"/>
        <w:numPr>
          <w:ilvl w:val="0"/>
          <w:numId w:val="33"/>
        </w:numPr>
        <w:spacing w:lineRule="auto" w:line="276"/>
        <w:ind w:hanging="426" w:start="426"/>
        <w:jc w:val="both"/>
        <w:rPr>
          <w:rFonts w:ascii="Calibri" w:hAnsi="Calibri" w:cs="Calibri"/>
          <w:sz w:val="22"/>
          <w:szCs w:val="22"/>
        </w:rPr>
      </w:pPr>
      <w:r>
        <w:rPr>
          <w:rFonts w:eastAsia="Calibri" w:cs="Calibri" w:ascii="Calibri" w:hAnsi="Calibri"/>
          <w:sz w:val="22"/>
          <w:szCs w:val="22"/>
        </w:rPr>
        <w:t>W sprawach nieuregulowanych niniejszą Umową zastosowanie będą miały właściwe przepisy powszechnie obowiązujące, w tym w szczególności postanowienia Kodeksu Cywilnego, ustawy Prawo Zamówień Publicznych oraz ustawy Prawo Budowlane.</w:t>
      </w:r>
    </w:p>
    <w:p>
      <w:pPr>
        <w:pStyle w:val="Standard"/>
        <w:numPr>
          <w:ilvl w:val="0"/>
          <w:numId w:val="33"/>
        </w:numPr>
        <w:spacing w:lineRule="auto" w:line="276"/>
        <w:ind w:hanging="426" w:start="426"/>
        <w:jc w:val="both"/>
        <w:rPr>
          <w:rFonts w:ascii="Calibri" w:hAnsi="Calibri" w:cs="Calibri"/>
          <w:sz w:val="22"/>
          <w:szCs w:val="22"/>
        </w:rPr>
      </w:pPr>
      <w:r>
        <w:rPr>
          <w:rFonts w:eastAsia="Calibri" w:cs="Calibri" w:ascii="Calibri" w:hAnsi="Calibri"/>
          <w:sz w:val="22"/>
          <w:szCs w:val="22"/>
        </w:rPr>
        <w:t>Strony postanawiają, że ewentualne spory powstałe na tle wykonania przedmiotu Umowy Strony zobowiążą się rozstrzygać polubownie, a w przypadku braku porozumienia z sądem miejscowo właściwym dla ich rozstrzygnięcia będzie sąd siedziby Zamawiającego</w:t>
      </w:r>
    </w:p>
    <w:p>
      <w:pPr>
        <w:pStyle w:val="Normal"/>
        <w:spacing w:lineRule="auto" w:line="276" w:before="0" w:after="0"/>
        <w:jc w:val="center"/>
        <w:rPr>
          <w:rFonts w:ascii="Calibri" w:hAnsi="Calibri" w:cs="Calibri"/>
          <w:b/>
        </w:rPr>
      </w:pPr>
      <w:r>
        <w:rPr>
          <w:rFonts w:cs="Calibri" w:ascii="Calibri" w:hAnsi="Calibri"/>
          <w:b/>
        </w:rPr>
      </w:r>
    </w:p>
    <w:p>
      <w:pPr>
        <w:pStyle w:val="Normal"/>
        <w:spacing w:lineRule="auto" w:line="276" w:before="0" w:after="0"/>
        <w:jc w:val="center"/>
        <w:rPr>
          <w:rFonts w:ascii="Calibri" w:hAnsi="Calibri" w:cs="Calibri"/>
          <w:b/>
        </w:rPr>
      </w:pPr>
      <w:r>
        <w:rPr>
          <w:rFonts w:cs="Calibri" w:ascii="Calibri" w:hAnsi="Calibri"/>
          <w:b/>
        </w:rPr>
      </w:r>
    </w:p>
    <w:p>
      <w:pPr>
        <w:pStyle w:val="Normal"/>
        <w:spacing w:lineRule="auto" w:line="276" w:before="0" w:after="0"/>
        <w:jc w:val="center"/>
        <w:rPr>
          <w:rFonts w:ascii="Calibri" w:hAnsi="Calibri" w:cs="Calibri"/>
        </w:rPr>
      </w:pPr>
      <w:r>
        <w:rPr>
          <w:rFonts w:eastAsia="Calibri" w:cs="Calibri" w:ascii="Calibri" w:hAnsi="Calibri"/>
          <w:b/>
          <w:lang w:eastAsia="pl-PL"/>
        </w:rPr>
        <w:t>ZAMAWIAJĄCY:</w:t>
        <w:tab/>
        <w:tab/>
        <w:t xml:space="preserve">              </w:t>
        <w:tab/>
        <w:tab/>
        <w:t xml:space="preserve">             WYKONAWCA:</w:t>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rPr>
          <w:rFonts w:ascii="Calibri" w:hAnsi="Calibri" w:cs="Calibri"/>
        </w:rPr>
      </w:pPr>
      <w:r>
        <w:rPr>
          <w:rFonts w:cs="Calibri" w:ascii="Calibri" w:hAnsi="Calibri"/>
        </w:rPr>
      </w:r>
    </w:p>
    <w:p>
      <w:pPr>
        <w:pStyle w:val="Normal"/>
        <w:spacing w:lineRule="auto" w:line="276" w:before="0" w:after="0"/>
        <w:jc w:val="both"/>
        <w:rPr>
          <w:rFonts w:ascii="Calibri" w:hAnsi="Calibri" w:cs="Calibri"/>
        </w:rPr>
      </w:pPr>
      <w:r>
        <w:rPr>
          <w:rFonts w:eastAsia="Calibri" w:cs="Calibri" w:ascii="Calibri" w:hAnsi="Calibri"/>
        </w:rPr>
        <w:t>Zał. nr 1 - Informacja o przetwarzaniu danych osobowych</w:t>
      </w:r>
    </w:p>
    <w:p>
      <w:pPr>
        <w:pStyle w:val="Normal"/>
        <w:spacing w:lineRule="auto" w:line="240"/>
        <w:jc w:val="end"/>
        <w:rPr>
          <w:rFonts w:ascii="Calibri" w:hAnsi="Calibri" w:cs="Calibri"/>
          <w:sz w:val="20"/>
          <w:szCs w:val="20"/>
        </w:rPr>
      </w:pPr>
      <w:r>
        <w:rPr>
          <w:rFonts w:cs="Calibri" w:ascii="Calibri" w:hAnsi="Calibri"/>
          <w:sz w:val="20"/>
          <w:szCs w:val="20"/>
        </w:rPr>
      </w:r>
    </w:p>
    <w:p>
      <w:pPr>
        <w:pStyle w:val="Normal"/>
        <w:spacing w:lineRule="auto" w:line="240"/>
        <w:jc w:val="end"/>
        <w:rPr>
          <w:rFonts w:ascii="Calibri" w:hAnsi="Calibri" w:cs="Calibri"/>
          <w:sz w:val="20"/>
          <w:szCs w:val="20"/>
        </w:rPr>
      </w:pPr>
      <w:r>
        <w:rPr>
          <w:rFonts w:eastAsia="Calibri" w:cs="Calibri" w:ascii="Calibri" w:hAnsi="Calibri"/>
          <w:sz w:val="20"/>
          <w:szCs w:val="20"/>
        </w:rPr>
        <w:t>Załącznik nr 1 do umowy</w:t>
      </w:r>
    </w:p>
    <w:p>
      <w:pPr>
        <w:pStyle w:val="Nagwek1"/>
        <w:jc w:val="center"/>
        <w:rPr>
          <w:rFonts w:ascii="Calibri" w:hAnsi="Calibri" w:cs="Calibri"/>
          <w:color w:val="auto"/>
          <w:sz w:val="20"/>
          <w:szCs w:val="20"/>
        </w:rPr>
      </w:pPr>
      <w:r>
        <w:rPr>
          <w:rFonts w:eastAsia="Calibri" w:cs="Calibri" w:ascii="Calibri" w:hAnsi="Calibri"/>
          <w:color w:val="auto"/>
          <w:sz w:val="20"/>
          <w:szCs w:val="20"/>
          <w:shd w:fill="FFFFFF" w:val="clear"/>
        </w:rPr>
        <w:t>Informacja o przetwarzaniu danych osobowych</w:t>
      </w:r>
    </w:p>
    <w:p>
      <w:pPr>
        <w:pStyle w:val="Standard"/>
        <w:spacing w:before="0" w:after="283"/>
        <w:jc w:val="center"/>
        <w:rPr>
          <w:rFonts w:ascii="Calibri" w:hAnsi="Calibri" w:cs="Calibri"/>
          <w:sz w:val="20"/>
          <w:szCs w:val="20"/>
        </w:rPr>
      </w:pPr>
      <w:r>
        <w:rPr>
          <w:rFonts w:eastAsia="Calibri" w:cs="Calibri" w:ascii="Calibri" w:hAnsi="Calibri"/>
          <w:i/>
          <w:iCs/>
          <w:sz w:val="20"/>
          <w:szCs w:val="20"/>
        </w:rPr>
        <w:t>Zgodnie z art. 13 ust. 1 i ust. 2 oraz art. 14 ust. 1 i ust. 2 Rozporządzenia Parlamentu Europejskiego i Rady (UE) 2016/679 z dnia 27 kwietnia 2016 r. w sprawie ochrony osób fizycznych w związku z przetwarzaniem danych osobowych i w sprawie swobodnego przepływu takich danych oraz uchylenia dyrektywy 95/46/WE (RODO), informujemy, że:</w:t>
      </w:r>
    </w:p>
    <w:p>
      <w:pPr>
        <w:pStyle w:val="Standard"/>
        <w:widowControl w:val="false"/>
        <w:numPr>
          <w:ilvl w:val="0"/>
          <w:numId w:val="16"/>
        </w:numPr>
        <w:spacing w:before="0" w:after="120"/>
        <w:ind w:hanging="357" w:start="357"/>
        <w:jc w:val="both"/>
        <w:rPr>
          <w:rFonts w:ascii="Calibri" w:hAnsi="Calibri" w:cs="Calibri"/>
          <w:sz w:val="20"/>
          <w:szCs w:val="20"/>
        </w:rPr>
      </w:pPr>
      <w:r>
        <w:rPr>
          <w:rFonts w:eastAsia="Calibri" w:cs="Calibri" w:ascii="Calibri" w:hAnsi="Calibri"/>
          <w:iCs/>
          <w:sz w:val="20"/>
          <w:szCs w:val="20"/>
        </w:rPr>
        <w:t xml:space="preserve">Administratorem Pana/Pani danych osobowych jest Urząd Gminy Kunice, reprezentowany przez Wójta Gminy, </w:t>
        <w:br/>
        <w:t>ul. Gwarna 1, 59-216 Kunice. Kontakt: tel. (+76) 857-50-13, e-mail: kunice@kunice.pl (dalej Administrator)</w:t>
      </w:r>
    </w:p>
    <w:p>
      <w:pPr>
        <w:pStyle w:val="Standard"/>
        <w:numPr>
          <w:ilvl w:val="0"/>
          <w:numId w:val="16"/>
        </w:numPr>
        <w:spacing w:before="0" w:after="120"/>
        <w:ind w:hanging="357" w:start="357"/>
        <w:jc w:val="both"/>
        <w:rPr>
          <w:rFonts w:ascii="Calibri" w:hAnsi="Calibri" w:cs="Calibri"/>
          <w:sz w:val="20"/>
          <w:szCs w:val="20"/>
        </w:rPr>
      </w:pPr>
      <w:r>
        <w:rPr>
          <w:rFonts w:eastAsia="Calibri" w:cs="Calibri" w:ascii="Calibri" w:hAnsi="Calibri"/>
          <w:iCs/>
          <w:sz w:val="20"/>
          <w:szCs w:val="20"/>
        </w:rPr>
        <w:t>Kontakt z Inspektorem Ochrony Danych Osobowych: iodo@amt24.biz</w:t>
      </w:r>
    </w:p>
    <w:p>
      <w:pPr>
        <w:pStyle w:val="Standard"/>
        <w:numPr>
          <w:ilvl w:val="0"/>
          <w:numId w:val="16"/>
        </w:numPr>
        <w:spacing w:before="0" w:after="120"/>
        <w:ind w:hanging="357" w:start="357"/>
        <w:jc w:val="both"/>
        <w:rPr>
          <w:rFonts w:ascii="Calibri" w:hAnsi="Calibri" w:cs="Calibri"/>
          <w:sz w:val="20"/>
          <w:szCs w:val="20"/>
        </w:rPr>
      </w:pPr>
      <w:r>
        <w:rPr>
          <w:rFonts w:eastAsia="Calibri" w:cs="Calibri" w:ascii="Calibri" w:hAnsi="Calibri"/>
          <w:iCs/>
          <w:sz w:val="20"/>
          <w:szCs w:val="20"/>
        </w:rPr>
        <w:t>Pani/Pana dane osobowe będą przetwarzane w celu realizacji umowy oraz w celach kontaktowych związanych z umową.</w:t>
      </w:r>
    </w:p>
    <w:p>
      <w:pPr>
        <w:pStyle w:val="Standard"/>
        <w:numPr>
          <w:ilvl w:val="0"/>
          <w:numId w:val="16"/>
        </w:numPr>
        <w:spacing w:before="0" w:after="120"/>
        <w:ind w:hanging="357" w:start="357"/>
        <w:jc w:val="both"/>
        <w:rPr>
          <w:rFonts w:ascii="Calibri" w:hAnsi="Calibri" w:cs="Calibri"/>
          <w:sz w:val="20"/>
          <w:szCs w:val="20"/>
        </w:rPr>
      </w:pPr>
      <w:r>
        <w:rPr>
          <w:rFonts w:eastAsia="Calibri" w:cs="Calibri" w:ascii="Calibri" w:hAnsi="Calibri"/>
          <w:iCs/>
          <w:sz w:val="20"/>
          <w:szCs w:val="20"/>
        </w:rPr>
        <w:t>Podstawą przetwarzania danych osobowych jest:</w:t>
      </w:r>
    </w:p>
    <w:p>
      <w:pPr>
        <w:pStyle w:val="Standard"/>
        <w:numPr>
          <w:ilvl w:val="0"/>
          <w:numId w:val="17"/>
        </w:numPr>
        <w:spacing w:before="0" w:after="120"/>
        <w:jc w:val="both"/>
        <w:rPr>
          <w:rFonts w:ascii="Calibri" w:hAnsi="Calibri" w:cs="Calibri"/>
          <w:sz w:val="20"/>
          <w:szCs w:val="20"/>
        </w:rPr>
      </w:pPr>
      <w:r>
        <w:rPr>
          <w:rFonts w:eastAsia="Calibri" w:cs="Calibri" w:ascii="Calibri" w:hAnsi="Calibri"/>
          <w:iCs/>
          <w:sz w:val="20"/>
          <w:szCs w:val="20"/>
        </w:rPr>
        <w:t xml:space="preserve">art. 6 ust. 1 lit. b RODO - przetwarzanie jest niezbędne do wykonania umowy, której stroną jest osoba, której dane dotyczą, lub do podjęcia działań na żądanie osoby, której dane dotyczą, przed zawarciem umowy, </w:t>
      </w:r>
    </w:p>
    <w:p>
      <w:pPr>
        <w:pStyle w:val="Standard"/>
        <w:numPr>
          <w:ilvl w:val="0"/>
          <w:numId w:val="17"/>
        </w:numPr>
        <w:spacing w:before="0" w:after="120"/>
        <w:jc w:val="both"/>
        <w:rPr>
          <w:rFonts w:ascii="Calibri" w:hAnsi="Calibri" w:cs="Calibri"/>
          <w:sz w:val="20"/>
          <w:szCs w:val="20"/>
        </w:rPr>
      </w:pPr>
      <w:r>
        <w:rPr>
          <w:rFonts w:eastAsia="Calibri" w:cs="Calibri" w:ascii="Calibri" w:hAnsi="Calibri"/>
          <w:iCs/>
          <w:sz w:val="20"/>
          <w:szCs w:val="20"/>
        </w:rPr>
        <w:t>art. 6 ust. 1 lit. c RODO - przetwarzanie jest niezbędne do wypełnienia obowiązku prawnego ciążącego na administratorze – Ustawa z dnia 29 września 1994r. rachunkowości, Ustawa z dnia 27 sierpnia 2009r. o finansach publicznych</w:t>
      </w:r>
    </w:p>
    <w:p>
      <w:pPr>
        <w:pStyle w:val="Standard"/>
        <w:numPr>
          <w:ilvl w:val="0"/>
          <w:numId w:val="17"/>
        </w:numPr>
        <w:spacing w:before="0" w:after="120"/>
        <w:jc w:val="both"/>
        <w:rPr>
          <w:rFonts w:ascii="Calibri" w:hAnsi="Calibri" w:cs="Calibri"/>
          <w:sz w:val="20"/>
          <w:szCs w:val="20"/>
        </w:rPr>
      </w:pPr>
      <w:r>
        <w:rPr>
          <w:rFonts w:eastAsia="Calibri" w:cs="Calibri" w:ascii="Calibri" w:hAnsi="Calibri"/>
          <w:iCs/>
          <w:sz w:val="20"/>
          <w:szCs w:val="20"/>
        </w:rPr>
        <w:t>art. 6 ust. 1 lit. f - przetwarzanie jest niezbędne do celów wynikających z prawnie uzasadnionych interesów realizowanych przez administratora lub przez stronę trzecią, z wyjątkiem sytuacji, w których nadrzędny charakter wobec tych interesów mają interesy lub podstawowe prawa i wolności osoby, której dane dotyczą, wymagające ochrony danych osobowych, w szczególności, gdy osoba, której dane dotyczą, jest dzieckiem. Prawnie uzasadnionym interesem administratora danych jest umożliwienie prawidłowej realizacji umowy między stronami, komunikacja z osobami kontaktowymi w zakresie realizacji umowy.</w:t>
      </w:r>
    </w:p>
    <w:p>
      <w:pPr>
        <w:pStyle w:val="Standard"/>
        <w:numPr>
          <w:ilvl w:val="0"/>
          <w:numId w:val="16"/>
        </w:numPr>
        <w:spacing w:before="0" w:after="120"/>
        <w:ind w:hanging="357" w:start="357"/>
        <w:jc w:val="both"/>
        <w:rPr>
          <w:rFonts w:ascii="Calibri" w:hAnsi="Calibri" w:cs="Calibri"/>
          <w:sz w:val="20"/>
          <w:szCs w:val="20"/>
        </w:rPr>
      </w:pPr>
      <w:r>
        <w:rPr>
          <w:rFonts w:eastAsia="Calibri" w:cs="Calibri" w:ascii="Calibri" w:hAnsi="Calibri"/>
          <w:iCs/>
          <w:sz w:val="20"/>
          <w:szCs w:val="20"/>
        </w:rPr>
        <w:t>Kategorie danych osobowych: dane osobowe osób uprawnionych do podpisania umowy: imię i nazwisko, stanowisko, dane osobowe pracowników strony w zakresie: imię i nazwisko, adres korespondencji służbowy, numer telefonu służbowego, adres e-mail służbowy.</w:t>
      </w:r>
    </w:p>
    <w:p>
      <w:pPr>
        <w:pStyle w:val="Standard"/>
        <w:numPr>
          <w:ilvl w:val="0"/>
          <w:numId w:val="16"/>
        </w:numPr>
        <w:spacing w:before="0" w:after="120"/>
        <w:ind w:hanging="357" w:start="357"/>
        <w:jc w:val="both"/>
        <w:rPr>
          <w:rFonts w:ascii="Calibri" w:hAnsi="Calibri" w:cs="Calibri"/>
          <w:sz w:val="20"/>
          <w:szCs w:val="20"/>
        </w:rPr>
      </w:pPr>
      <w:r>
        <w:rPr>
          <w:rFonts w:eastAsia="Calibri" w:cs="Calibri" w:ascii="Calibri" w:hAnsi="Calibri"/>
          <w:iCs/>
          <w:sz w:val="20"/>
          <w:szCs w:val="20"/>
        </w:rPr>
        <w:t xml:space="preserve">Odbiorca lub kategorie odbiorców: Podmioty upoważnione na podstawie zawartych umów powierzenia oraz uprawnione na mocy obowiązujących przepisów prawa. Podmioty tj. dostawców usług lub produktów, </w:t>
        <w:br/>
        <w:t>w szczególności podmiotom świadczącym Administratorowi usługi IT (serwis, hosting)</w:t>
      </w:r>
    </w:p>
    <w:p>
      <w:pPr>
        <w:pStyle w:val="Standard"/>
        <w:numPr>
          <w:ilvl w:val="0"/>
          <w:numId w:val="16"/>
        </w:numPr>
        <w:spacing w:before="0" w:after="120"/>
        <w:ind w:hanging="357" w:start="357"/>
        <w:jc w:val="both"/>
        <w:rPr>
          <w:rFonts w:ascii="Calibri" w:hAnsi="Calibri" w:cs="Calibri"/>
          <w:sz w:val="20"/>
          <w:szCs w:val="20"/>
        </w:rPr>
      </w:pPr>
      <w:r>
        <w:rPr>
          <w:rFonts w:eastAsia="Calibri" w:cs="Calibri" w:ascii="Calibri" w:hAnsi="Calibri"/>
          <w:iCs/>
          <w:sz w:val="20"/>
          <w:szCs w:val="20"/>
        </w:rPr>
        <w:t>Pani/Pana dane osobowe będą przechowywane przez okres niezbędny do realizacji celu dla jakiego zostały zebrane. W szczególności dane mogą być również przetwarzane przez wynikający z przepisów prawa okres związany z dochodzeniem i przedawnieniem roszczeń.</w:t>
      </w:r>
    </w:p>
    <w:p>
      <w:pPr>
        <w:pStyle w:val="Standard"/>
        <w:numPr>
          <w:ilvl w:val="0"/>
          <w:numId w:val="16"/>
        </w:numPr>
        <w:spacing w:before="0" w:after="120"/>
        <w:ind w:hanging="357" w:start="357"/>
        <w:jc w:val="both"/>
        <w:rPr>
          <w:rFonts w:ascii="Calibri" w:hAnsi="Calibri" w:cs="Calibri"/>
          <w:sz w:val="20"/>
          <w:szCs w:val="20"/>
        </w:rPr>
      </w:pPr>
      <w:r>
        <w:rPr>
          <w:rFonts w:eastAsia="Calibri" w:cs="Calibri" w:ascii="Calibri" w:hAnsi="Calibri"/>
          <w:iCs/>
          <w:sz w:val="20"/>
          <w:szCs w:val="20"/>
        </w:rPr>
        <w:t>Posiada Pani/Pan prawo do edycji, wglądu, informacji o źródle pozyskania, sprzeciwu na dalsze przetwarzanie, a także prawo do bycia zapomnianym, chyba że w przepisach prawa wyraźnie wskazano inaczej lub żądanie stoi w sprzeczności z prawnie uzasadnionym interesem Administratora.</w:t>
      </w:r>
    </w:p>
    <w:p>
      <w:pPr>
        <w:pStyle w:val="Standard"/>
        <w:numPr>
          <w:ilvl w:val="0"/>
          <w:numId w:val="16"/>
        </w:numPr>
        <w:spacing w:before="0" w:after="120"/>
        <w:ind w:hanging="357" w:start="357"/>
        <w:jc w:val="both"/>
        <w:rPr>
          <w:rFonts w:ascii="Calibri" w:hAnsi="Calibri" w:cs="Calibri"/>
          <w:sz w:val="20"/>
          <w:szCs w:val="20"/>
        </w:rPr>
      </w:pPr>
      <w:r>
        <w:rPr>
          <w:rFonts w:eastAsia="Calibri" w:cs="Calibri" w:ascii="Calibri" w:hAnsi="Calibri"/>
          <w:iCs/>
          <w:sz w:val="20"/>
          <w:szCs w:val="20"/>
        </w:rPr>
        <w:t>Ma Pani/Pan prawo do wniesienia skargi do organu nadzorczego tj. Prezesa Urzędu Ochrony Danych Osobowych ul. Stawki 2, 00-913 Warszawa.</w:t>
      </w:r>
    </w:p>
    <w:p>
      <w:pPr>
        <w:pStyle w:val="Standard"/>
        <w:numPr>
          <w:ilvl w:val="0"/>
          <w:numId w:val="16"/>
        </w:numPr>
        <w:spacing w:before="0" w:after="120"/>
        <w:ind w:hanging="357" w:start="357"/>
        <w:jc w:val="both"/>
        <w:rPr>
          <w:rFonts w:ascii="Calibri" w:hAnsi="Calibri" w:cs="Calibri"/>
          <w:sz w:val="20"/>
          <w:szCs w:val="20"/>
        </w:rPr>
      </w:pPr>
      <w:r>
        <w:rPr>
          <w:rFonts w:eastAsia="Calibri" w:cs="Calibri" w:ascii="Calibri" w:hAnsi="Calibri"/>
          <w:sz w:val="20"/>
          <w:szCs w:val="20"/>
        </w:rPr>
        <w:t xml:space="preserve">Pani/Pana dane osobowe nie będą poddawane zautomatyzowanemu podejmowaniu decyzji, w tym również profilowaniu. </w:t>
      </w:r>
    </w:p>
    <w:p>
      <w:pPr>
        <w:pStyle w:val="Standard"/>
        <w:numPr>
          <w:ilvl w:val="0"/>
          <w:numId w:val="16"/>
        </w:numPr>
        <w:spacing w:before="0" w:after="120"/>
        <w:ind w:hanging="357" w:start="357"/>
        <w:jc w:val="both"/>
        <w:rPr>
          <w:rFonts w:ascii="Calibri" w:hAnsi="Calibri" w:cs="Calibri"/>
          <w:sz w:val="20"/>
          <w:szCs w:val="20"/>
        </w:rPr>
      </w:pPr>
      <w:r>
        <w:rPr>
          <w:rFonts w:eastAsia="Calibri" w:cs="Calibri" w:ascii="Calibri" w:hAnsi="Calibri"/>
          <w:sz w:val="20"/>
          <w:szCs w:val="20"/>
        </w:rPr>
        <w:t>Pani/Pana dane osobowe nie będą przekazywane do państw trzecich lub organizacji międzynarodowych.</w:t>
      </w:r>
    </w:p>
    <w:p>
      <w:pPr>
        <w:pStyle w:val="Standard"/>
        <w:numPr>
          <w:ilvl w:val="0"/>
          <w:numId w:val="16"/>
        </w:numPr>
        <w:spacing w:before="0" w:after="120"/>
        <w:ind w:hanging="357" w:start="357"/>
        <w:jc w:val="both"/>
        <w:rPr>
          <w:rFonts w:ascii="Calibri" w:hAnsi="Calibri" w:cs="Calibri"/>
          <w:sz w:val="20"/>
          <w:szCs w:val="20"/>
        </w:rPr>
      </w:pPr>
      <w:r>
        <w:rPr>
          <w:rFonts w:eastAsia="Calibri" w:cs="Calibri" w:ascii="Calibri" w:hAnsi="Calibri"/>
          <w:iCs/>
          <w:sz w:val="20"/>
          <w:szCs w:val="20"/>
        </w:rPr>
        <w:t>Podanie danych jest dobrowolne jednak niezbędne do zawarcia do umowy.</w:t>
      </w:r>
    </w:p>
    <w:p>
      <w:pPr>
        <w:pStyle w:val="Normal"/>
        <w:spacing w:lineRule="auto" w:line="240"/>
        <w:ind w:hanging="539" w:start="539"/>
        <w:jc w:val="center"/>
        <w:rPr>
          <w:rFonts w:ascii="Calibri" w:hAnsi="Calibri" w:cs="Calibri"/>
          <w:b/>
          <w:sz w:val="20"/>
          <w:szCs w:val="20"/>
        </w:rPr>
      </w:pPr>
      <w:r>
        <w:rPr>
          <w:rFonts w:cs="Calibri" w:ascii="Calibri" w:hAnsi="Calibri"/>
          <w:b/>
          <w:sz w:val="20"/>
          <w:szCs w:val="20"/>
        </w:rPr>
      </w:r>
    </w:p>
    <w:p>
      <w:pPr>
        <w:pStyle w:val="Normal"/>
        <w:spacing w:lineRule="auto" w:line="240"/>
        <w:ind w:hanging="539" w:start="539"/>
        <w:jc w:val="center"/>
        <w:rPr>
          <w:rFonts w:ascii="Calibri" w:hAnsi="Calibri" w:cs="Calibri"/>
          <w:sz w:val="20"/>
          <w:szCs w:val="20"/>
        </w:rPr>
      </w:pPr>
      <w:r>
        <w:rPr>
          <w:rFonts w:eastAsia="Calibri" w:cs="Calibri" w:ascii="Calibri" w:hAnsi="Calibri"/>
          <w:b/>
          <w:sz w:val="20"/>
          <w:szCs w:val="20"/>
        </w:rPr>
        <w:t>Zapoznałam/em się z klauzulą informacyjną</w:t>
      </w:r>
      <w:r>
        <w:rPr>
          <w:rFonts w:eastAsia="Calibri" w:cs="Calibri" w:ascii="Calibri" w:hAnsi="Calibri"/>
          <w:sz w:val="20"/>
          <w:szCs w:val="20"/>
        </w:rPr>
        <w:t xml:space="preserve">                                   …………………………..………………..</w:t>
      </w:r>
    </w:p>
    <w:p>
      <w:pPr>
        <w:pStyle w:val="Normal"/>
        <w:spacing w:lineRule="auto" w:line="240" w:before="0" w:after="160"/>
        <w:ind w:start="5502"/>
        <w:jc w:val="center"/>
        <w:rPr>
          <w:rFonts w:ascii="Calibri" w:hAnsi="Calibri" w:cs="Calibri"/>
          <w:sz w:val="20"/>
          <w:szCs w:val="20"/>
        </w:rPr>
      </w:pPr>
      <w:r>
        <w:rPr>
          <w:rFonts w:eastAsia="Calibri" w:cs="Calibri" w:ascii="Calibri" w:hAnsi="Calibri"/>
          <w:sz w:val="20"/>
          <w:szCs w:val="20"/>
        </w:rPr>
        <w:t>data i podpis</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8" w:right="1134" w:gutter="0" w:header="340" w:top="760" w:footer="227"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Times New Roman">
    <w:charset w:val="ee" w:characterSet="windows-1250"/>
    <w:family w:val="roman"/>
    <w:pitch w:val="variable"/>
  </w:font>
  <w:font w:name="Arial">
    <w:charset w:val="ee" w:characterSet="windows-1250"/>
    <w:family w:val="swiss"/>
    <w:pitch w:val="variable"/>
  </w:font>
  <w:font w:name="Tahoma">
    <w:charset w:val="ee" w:characterSet="windows-1250"/>
    <w:family w:val="swiss"/>
    <w:pitch w:val="variable"/>
  </w:font>
  <w:font w:name="Liberation Sans">
    <w:altName w:val="Arial"/>
    <w:charset w:val="ee" w:characterSet="windows-1250"/>
    <w:family w:val="swiss"/>
    <w:pitch w:val="variable"/>
  </w:font>
  <w:font w:name="Arial Narrow">
    <w:charset w:val="ee" w:characterSet="windows-1250"/>
    <w:family w:val="swiss"/>
    <w:pitch w:val="variable"/>
  </w:font>
  <w:font w:name="Calibri Light">
    <w:charset w:val="ee" w:characterSet="windows-1250"/>
    <w:family w:val="swiss"/>
    <w:pitch w:val="variable"/>
  </w:font>
  <w:font w:name="Calibri">
    <w:charset w:val="ee" w:characterSet="windows-1250"/>
    <w:family w:val="swiss"/>
    <w:pitch w:val="variable"/>
  </w:font>
  <w:font w:name="OpenSymbol">
    <w:altName w:val="Arial Unicode MS"/>
    <w:charset w:val="02"/>
    <w:family w:val="auto"/>
    <w:pitch w:val="default"/>
  </w:font>
  <w:font w:name="Times New Roman">
    <w:charset w:val="01"/>
    <w:family w:val="roman"/>
    <w:pitch w:val="variable"/>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end"/>
      <w:rPr>
        <w:rFonts w:ascii="Calibri" w:hAnsi="Calibri" w:cs="Calibri"/>
        <w:sz w:val="20"/>
        <w:szCs w:val="20"/>
      </w:rPr>
    </w:pPr>
    <w:r>
      <w:rPr>
        <w:rFonts w:cs="Calibri" w:ascii="Calibri" w:hAnsi="Calibri"/>
        <w:sz w:val="20"/>
        <w:szCs w:val="20"/>
      </w:rPr>
      <w:fldChar w:fldCharType="begin"/>
    </w:r>
    <w:r>
      <w:rPr>
        <w:rFonts w:cs="Calibri" w:ascii="Calibri" w:hAnsi="Calibri"/>
        <w:sz w:val="20"/>
        <w:szCs w:val="20"/>
      </w:rPr>
      <w:instrText xml:space="preserve"> PAGE </w:instrText>
    </w:r>
    <w:r>
      <w:rPr>
        <w:rFonts w:cs="Calibri" w:ascii="Calibri" w:hAnsi="Calibri"/>
        <w:sz w:val="20"/>
        <w:szCs w:val="20"/>
      </w:rPr>
      <w:fldChar w:fldCharType="separate"/>
    </w:r>
    <w:r>
      <w:rPr>
        <w:rFonts w:cs="Calibri" w:ascii="Calibri" w:hAnsi="Calibri"/>
        <w:sz w:val="20"/>
        <w:szCs w:val="20"/>
      </w:rPr>
      <w:t>1</w:t>
    </w:r>
    <w:r>
      <w:rPr>
        <w:rFonts w:cs="Calibri" w:ascii="Calibri" w:hAnsi="Calibri"/>
        <w:sz w:val="20"/>
        <w:szCs w:val="20"/>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end"/>
      <w:rPr>
        <w:rFonts w:ascii="Calibri" w:hAnsi="Calibri" w:cs="Calibri"/>
        <w:sz w:val="20"/>
        <w:szCs w:val="20"/>
      </w:rPr>
    </w:pPr>
    <w:r>
      <w:rPr>
        <w:rFonts w:cs="Calibri" w:ascii="Calibri" w:hAnsi="Calibri"/>
        <w:sz w:val="20"/>
        <w:szCs w:val="20"/>
      </w:rPr>
      <w:fldChar w:fldCharType="begin"/>
    </w:r>
    <w:r>
      <w:rPr>
        <w:rFonts w:cs="Calibri" w:ascii="Calibri" w:hAnsi="Calibri"/>
        <w:sz w:val="20"/>
        <w:szCs w:val="20"/>
      </w:rPr>
      <w:instrText xml:space="preserve"> PAGE </w:instrText>
    </w:r>
    <w:r>
      <w:rPr>
        <w:rFonts w:cs="Calibri" w:ascii="Calibri" w:hAnsi="Calibri"/>
        <w:sz w:val="20"/>
        <w:szCs w:val="20"/>
      </w:rPr>
      <w:fldChar w:fldCharType="separate"/>
    </w:r>
    <w:r>
      <w:rPr>
        <w:rFonts w:cs="Calibri" w:ascii="Calibri" w:hAnsi="Calibri"/>
        <w:sz w:val="20"/>
        <w:szCs w:val="20"/>
      </w:rPr>
      <w:t>1</w:t>
    </w:r>
    <w:r>
      <w:rPr>
        <w:rFonts w:cs="Calibri" w:ascii="Calibri" w:hAnsi="Calibri"/>
        <w:sz w:val="20"/>
        <w:szCs w:val="20"/>
      </w:rPr>
      <w:fldChar w:fldCharType="end"/>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360" w:hanging="360"/>
      </w:pPr>
      <w:rPr>
        <w:rFonts w:ascii="Calibri" w:hAnsi="Calibri" w:eastAsia="Times New Roman" w:cs="Calibri"/>
        <w:color w:val="auto"/>
      </w:rPr>
    </w:lvl>
    <w:lvl w:ilvl="1">
      <w:start w:val="1"/>
      <w:numFmt w:val="decimal"/>
      <w:isLgl/>
      <w:lvlText w:val="%1.%2."/>
      <w:lvlJc w:val="start"/>
      <w:pPr>
        <w:tabs>
          <w:tab w:val="num" w:pos="0"/>
        </w:tabs>
        <w:ind w:start="503" w:hanging="360"/>
      </w:pPr>
      <w:rPr>
        <w:rFonts w:cs="Times New Roman"/>
      </w:rPr>
    </w:lvl>
    <w:lvl w:ilvl="2">
      <w:start w:val="1"/>
      <w:numFmt w:val="decimal"/>
      <w:isLgl/>
      <w:lvlText w:val="%1.%2.%3."/>
      <w:lvlJc w:val="start"/>
      <w:pPr>
        <w:tabs>
          <w:tab w:val="num" w:pos="0"/>
        </w:tabs>
        <w:ind w:start="874" w:hanging="720"/>
      </w:pPr>
      <w:rPr>
        <w:rFonts w:cs="Times New Roman"/>
      </w:rPr>
    </w:lvl>
    <w:lvl w:ilvl="3">
      <w:start w:val="1"/>
      <w:numFmt w:val="decimal"/>
      <w:isLgl/>
      <w:lvlText w:val="%1.%2.%3.%4."/>
      <w:lvlJc w:val="start"/>
      <w:pPr>
        <w:tabs>
          <w:tab w:val="num" w:pos="0"/>
        </w:tabs>
        <w:ind w:start="951" w:hanging="720"/>
      </w:pPr>
      <w:rPr>
        <w:rFonts w:cs="Times New Roman"/>
      </w:rPr>
    </w:lvl>
    <w:lvl w:ilvl="4">
      <w:start w:val="1"/>
      <w:numFmt w:val="decimal"/>
      <w:isLgl/>
      <w:lvlText w:val="%1.%2.%3.%4.%5."/>
      <w:lvlJc w:val="start"/>
      <w:pPr>
        <w:tabs>
          <w:tab w:val="num" w:pos="0"/>
        </w:tabs>
        <w:ind w:start="1388" w:hanging="1080"/>
      </w:pPr>
      <w:rPr>
        <w:rFonts w:cs="Times New Roman"/>
      </w:rPr>
    </w:lvl>
    <w:lvl w:ilvl="5">
      <w:start w:val="1"/>
      <w:numFmt w:val="decimal"/>
      <w:isLgl/>
      <w:lvlText w:val="%1.%2.%3.%4.%5.%6."/>
      <w:lvlJc w:val="start"/>
      <w:pPr>
        <w:tabs>
          <w:tab w:val="num" w:pos="0"/>
        </w:tabs>
        <w:ind w:start="1465" w:hanging="1080"/>
      </w:pPr>
      <w:rPr>
        <w:rFonts w:cs="Times New Roman"/>
      </w:rPr>
    </w:lvl>
    <w:lvl w:ilvl="6">
      <w:start w:val="1"/>
      <w:numFmt w:val="decimal"/>
      <w:isLgl/>
      <w:lvlText w:val="%1.%2.%3.%4.%5.%6.%7."/>
      <w:lvlJc w:val="start"/>
      <w:pPr>
        <w:tabs>
          <w:tab w:val="num" w:pos="0"/>
        </w:tabs>
        <w:ind w:start="1902" w:hanging="1440"/>
      </w:pPr>
      <w:rPr>
        <w:rFonts w:cs="Times New Roman"/>
      </w:rPr>
    </w:lvl>
    <w:lvl w:ilvl="7">
      <w:start w:val="1"/>
      <w:numFmt w:val="decimal"/>
      <w:isLgl/>
      <w:lvlText w:val="%1.%2.%3.%4.%5.%6.%7.%8."/>
      <w:lvlJc w:val="start"/>
      <w:pPr>
        <w:tabs>
          <w:tab w:val="num" w:pos="0"/>
        </w:tabs>
        <w:ind w:start="1979" w:hanging="1440"/>
      </w:pPr>
      <w:rPr>
        <w:rFonts w:cs="Times New Roman"/>
      </w:rPr>
    </w:lvl>
    <w:lvl w:ilvl="8">
      <w:start w:val="1"/>
      <w:numFmt w:val="decimal"/>
      <w:isLgl/>
      <w:lvlText w:val="%1.%2.%3.%4.%5.%6.%7.%8.%9."/>
      <w:lvlJc w:val="start"/>
      <w:pPr>
        <w:tabs>
          <w:tab w:val="num" w:pos="0"/>
        </w:tabs>
        <w:ind w:start="2416" w:hanging="1800"/>
      </w:pPr>
      <w:rPr>
        <w:rFonts w:cs="Times New Roman"/>
      </w:rPr>
    </w:lvl>
  </w:abstractNum>
  <w:abstractNum w:abstractNumId="2">
    <w:lvl w:ilvl="0">
      <w:start w:val="1"/>
      <w:numFmt w:val="decimal"/>
      <w:lvlText w:val="%1."/>
      <w:lvlJc w:val="start"/>
      <w:pPr>
        <w:tabs>
          <w:tab w:val="num" w:pos="0"/>
        </w:tabs>
        <w:ind w:start="360" w:hanging="360"/>
      </w:pPr>
      <w:rPr>
        <w:color w:val="auto"/>
      </w:rPr>
    </w:lvl>
    <w:lvl w:ilvl="1">
      <w:start w:val="1"/>
      <w:numFmt w:val="decimal"/>
      <w:isLgl/>
      <w:lvlText w:val="%1.%2."/>
      <w:lvlJc w:val="start"/>
      <w:pPr>
        <w:tabs>
          <w:tab w:val="num" w:pos="0"/>
        </w:tabs>
        <w:ind w:start="720" w:hanging="720"/>
      </w:pPr>
      <w:rPr/>
    </w:lvl>
    <w:lvl w:ilvl="2">
      <w:start w:val="1"/>
      <w:numFmt w:val="decimal"/>
      <w:isLgl/>
      <w:lvlText w:val="%1.%2.%3."/>
      <w:lvlJc w:val="start"/>
      <w:pPr>
        <w:tabs>
          <w:tab w:val="num" w:pos="0"/>
        </w:tabs>
        <w:ind w:start="720" w:hanging="720"/>
      </w:pPr>
      <w:rPr/>
    </w:lvl>
    <w:lvl w:ilvl="3">
      <w:start w:val="1"/>
      <w:numFmt w:val="decimal"/>
      <w:isLgl/>
      <w:lvlText w:val="%1.%2.%3.%4."/>
      <w:lvlJc w:val="start"/>
      <w:pPr>
        <w:tabs>
          <w:tab w:val="num" w:pos="0"/>
        </w:tabs>
        <w:ind w:start="1080" w:hanging="1080"/>
      </w:pPr>
      <w:rPr/>
    </w:lvl>
    <w:lvl w:ilvl="4">
      <w:start w:val="1"/>
      <w:numFmt w:val="decimal"/>
      <w:isLgl/>
      <w:lvlText w:val="%1.%2.%3.%4.%5."/>
      <w:lvlJc w:val="start"/>
      <w:pPr>
        <w:tabs>
          <w:tab w:val="num" w:pos="0"/>
        </w:tabs>
        <w:ind w:start="1080" w:hanging="1080"/>
      </w:pPr>
      <w:rPr/>
    </w:lvl>
    <w:lvl w:ilvl="5">
      <w:start w:val="1"/>
      <w:numFmt w:val="decimal"/>
      <w:isLgl/>
      <w:lvlText w:val="%1.%2.%3.%4.%5.%6."/>
      <w:lvlJc w:val="start"/>
      <w:pPr>
        <w:tabs>
          <w:tab w:val="num" w:pos="0"/>
        </w:tabs>
        <w:ind w:start="1440" w:hanging="1440"/>
      </w:pPr>
      <w:rPr/>
    </w:lvl>
    <w:lvl w:ilvl="6">
      <w:start w:val="1"/>
      <w:numFmt w:val="decimal"/>
      <w:isLgl/>
      <w:lvlText w:val="%1.%2.%3.%4.%5.%6.%7."/>
      <w:lvlJc w:val="start"/>
      <w:pPr>
        <w:tabs>
          <w:tab w:val="num" w:pos="0"/>
        </w:tabs>
        <w:ind w:start="1440" w:hanging="1440"/>
      </w:pPr>
      <w:rPr/>
    </w:lvl>
    <w:lvl w:ilvl="7">
      <w:start w:val="1"/>
      <w:numFmt w:val="decimal"/>
      <w:isLgl/>
      <w:lvlText w:val="%1.%2.%3.%4.%5.%6.%7.%8."/>
      <w:lvlJc w:val="start"/>
      <w:pPr>
        <w:tabs>
          <w:tab w:val="num" w:pos="0"/>
        </w:tabs>
        <w:ind w:start="1800" w:hanging="1800"/>
      </w:pPr>
      <w:rPr/>
    </w:lvl>
    <w:lvl w:ilvl="8">
      <w:start w:val="1"/>
      <w:numFmt w:val="decimal"/>
      <w:isLgl/>
      <w:lvlText w:val="%1.%2.%3.%4.%5.%6.%7.%8.%9."/>
      <w:lvlJc w:val="start"/>
      <w:pPr>
        <w:tabs>
          <w:tab w:val="num" w:pos="0"/>
        </w:tabs>
        <w:ind w:start="2160" w:hanging="2160"/>
      </w:pPr>
      <w:rPr/>
    </w:lvl>
  </w:abstractNum>
  <w:abstractNum w:abstractNumId="3">
    <w:lvl w:ilvl="0">
      <w:start w:val="1"/>
      <w:numFmt w:val="decimal"/>
      <w:lvlText w:val="%1."/>
      <w:lvlJc w:val="start"/>
      <w:pPr>
        <w:tabs>
          <w:tab w:val="num" w:pos="0"/>
        </w:tabs>
        <w:ind w:start="360" w:hanging="360"/>
      </w:pPr>
      <w:rPr>
        <w:b w:val="false"/>
        <w:sz w:val="22"/>
        <w:szCs w:val="22"/>
      </w:rPr>
    </w:lvl>
    <w:lvl w:ilvl="1">
      <w:start w:val="1"/>
      <w:numFmt w:val="lowerLetter"/>
      <w:lvlText w:val="%2)"/>
      <w:lvlJc w:val="start"/>
      <w:pPr>
        <w:tabs>
          <w:tab w:val="num" w:pos="0"/>
        </w:tabs>
        <w:ind w:start="1080" w:hanging="360"/>
      </w:pPr>
      <w:rPr/>
    </w:lvl>
    <w:lvl w:ilvl="2">
      <w:start w:val="1"/>
      <w:numFmt w:val="decimal"/>
      <w:lvlText w:val="%3)"/>
      <w:lvlJc w:val="start"/>
      <w:pPr>
        <w:tabs>
          <w:tab w:val="num" w:pos="0"/>
        </w:tabs>
        <w:ind w:start="1980" w:hanging="36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4">
    <w:lvl w:ilvl="0">
      <w:start w:val="18"/>
      <w:numFmt w:val="decimal"/>
      <w:lvlText w:val="%1)"/>
      <w:lvlJc w:val="start"/>
      <w:pPr>
        <w:tabs>
          <w:tab w:val="num" w:pos="0"/>
        </w:tabs>
        <w:ind w:start="360" w:hanging="360"/>
      </w:pPr>
      <w:rPr/>
    </w:lvl>
    <w:lvl w:ilvl="1">
      <w:start w:val="1"/>
      <w:numFmt w:val="decimal"/>
      <w:isLgl/>
      <w:lvlText w:val="%1.%2."/>
      <w:lvlJc w:val="start"/>
      <w:pPr>
        <w:tabs>
          <w:tab w:val="num" w:pos="0"/>
        </w:tabs>
        <w:ind w:start="360" w:hanging="360"/>
      </w:pPr>
      <w:rPr/>
    </w:lvl>
    <w:lvl w:ilvl="2">
      <w:start w:val="1"/>
      <w:numFmt w:val="decimal"/>
      <w:isLgl/>
      <w:lvlText w:val="%1.%2.%3."/>
      <w:lvlJc w:val="start"/>
      <w:pPr>
        <w:tabs>
          <w:tab w:val="num" w:pos="0"/>
        </w:tabs>
        <w:ind w:start="720" w:hanging="720"/>
      </w:pPr>
      <w:rPr/>
    </w:lvl>
    <w:lvl w:ilvl="3">
      <w:start w:val="1"/>
      <w:numFmt w:val="decimal"/>
      <w:isLgl/>
      <w:lvlText w:val="%1.%2.%3.%4."/>
      <w:lvlJc w:val="start"/>
      <w:pPr>
        <w:tabs>
          <w:tab w:val="num" w:pos="0"/>
        </w:tabs>
        <w:ind w:start="720" w:hanging="720"/>
      </w:pPr>
      <w:rPr/>
    </w:lvl>
    <w:lvl w:ilvl="4">
      <w:start w:val="1"/>
      <w:numFmt w:val="decimal"/>
      <w:isLgl/>
      <w:lvlText w:val="%1.%2.%3.%4.%5."/>
      <w:lvlJc w:val="start"/>
      <w:pPr>
        <w:tabs>
          <w:tab w:val="num" w:pos="0"/>
        </w:tabs>
        <w:ind w:start="1080" w:hanging="1080"/>
      </w:pPr>
      <w:rPr/>
    </w:lvl>
    <w:lvl w:ilvl="5">
      <w:start w:val="1"/>
      <w:numFmt w:val="decimal"/>
      <w:isLgl/>
      <w:lvlText w:val="%1.%2.%3.%4.%5.%6."/>
      <w:lvlJc w:val="start"/>
      <w:pPr>
        <w:tabs>
          <w:tab w:val="num" w:pos="0"/>
        </w:tabs>
        <w:ind w:start="1080" w:hanging="1080"/>
      </w:pPr>
      <w:rPr/>
    </w:lvl>
    <w:lvl w:ilvl="6">
      <w:start w:val="1"/>
      <w:numFmt w:val="decimal"/>
      <w:isLgl/>
      <w:lvlText w:val="%1.%2.%3.%4.%5.%6.%7."/>
      <w:lvlJc w:val="start"/>
      <w:pPr>
        <w:tabs>
          <w:tab w:val="num" w:pos="0"/>
        </w:tabs>
        <w:ind w:start="1440" w:hanging="1440"/>
      </w:pPr>
      <w:rPr/>
    </w:lvl>
    <w:lvl w:ilvl="7">
      <w:start w:val="1"/>
      <w:numFmt w:val="decimal"/>
      <w:isLgl/>
      <w:lvlText w:val="%1.%2.%3.%4.%5.%6.%7.%8."/>
      <w:lvlJc w:val="start"/>
      <w:pPr>
        <w:tabs>
          <w:tab w:val="num" w:pos="0"/>
        </w:tabs>
        <w:ind w:start="1440" w:hanging="1440"/>
      </w:pPr>
      <w:rPr/>
    </w:lvl>
    <w:lvl w:ilvl="8">
      <w:start w:val="1"/>
      <w:numFmt w:val="decimal"/>
      <w:isLgl/>
      <w:lvlText w:val="%1.%2.%3.%4.%5.%6.%7.%8.%9."/>
      <w:lvlJc w:val="start"/>
      <w:pPr>
        <w:tabs>
          <w:tab w:val="num" w:pos="0"/>
        </w:tabs>
        <w:ind w:start="1800" w:hanging="1800"/>
      </w:pPr>
      <w:rPr/>
    </w:lvl>
  </w:abstractNum>
  <w:abstractNum w:abstractNumId="5">
    <w:lvl w:ilvl="0">
      <w:start w:val="1"/>
      <w:numFmt w:val="decimal"/>
      <w:lvlText w:val="%1."/>
      <w:lvlJc w:val="start"/>
      <w:pPr>
        <w:tabs>
          <w:tab w:val="num" w:pos="0"/>
        </w:tabs>
        <w:ind w:start="360" w:hanging="360"/>
      </w:pPr>
      <w:rPr/>
    </w:lvl>
    <w:lvl w:ilvl="1">
      <w:start w:val="1"/>
      <w:numFmt w:val="decimal"/>
      <w:isLgl/>
      <w:lvlText w:val="%1.%2"/>
      <w:lvlJc w:val="start"/>
      <w:pPr>
        <w:tabs>
          <w:tab w:val="num" w:pos="0"/>
        </w:tabs>
        <w:ind w:start="420" w:hanging="420"/>
      </w:pPr>
      <w:rPr/>
    </w:lvl>
    <w:lvl w:ilvl="2">
      <w:start w:val="1"/>
      <w:numFmt w:val="decimal"/>
      <w:isLgl/>
      <w:lvlText w:val="%1.%2.%3"/>
      <w:lvlJc w:val="start"/>
      <w:pPr>
        <w:tabs>
          <w:tab w:val="num" w:pos="0"/>
        </w:tabs>
        <w:ind w:start="720" w:hanging="720"/>
      </w:pPr>
      <w:rPr/>
    </w:lvl>
    <w:lvl w:ilvl="3">
      <w:start w:val="1"/>
      <w:numFmt w:val="decimal"/>
      <w:isLgl/>
      <w:lvlText w:val="%1.%2.%3.%4"/>
      <w:lvlJc w:val="start"/>
      <w:pPr>
        <w:tabs>
          <w:tab w:val="num" w:pos="0"/>
        </w:tabs>
        <w:ind w:start="1080" w:hanging="1080"/>
      </w:pPr>
      <w:rPr/>
    </w:lvl>
    <w:lvl w:ilvl="4">
      <w:start w:val="1"/>
      <w:numFmt w:val="decimal"/>
      <w:isLgl/>
      <w:lvlText w:val="%1.%2.%3.%4.%5"/>
      <w:lvlJc w:val="start"/>
      <w:pPr>
        <w:tabs>
          <w:tab w:val="num" w:pos="0"/>
        </w:tabs>
        <w:ind w:start="1080" w:hanging="1080"/>
      </w:pPr>
      <w:rPr/>
    </w:lvl>
    <w:lvl w:ilvl="5">
      <w:start w:val="1"/>
      <w:numFmt w:val="decimal"/>
      <w:isLgl/>
      <w:lvlText w:val="%1.%2.%3.%4.%5.%6"/>
      <w:lvlJc w:val="start"/>
      <w:pPr>
        <w:tabs>
          <w:tab w:val="num" w:pos="0"/>
        </w:tabs>
        <w:ind w:start="1440" w:hanging="1440"/>
      </w:pPr>
      <w:rPr/>
    </w:lvl>
    <w:lvl w:ilvl="6">
      <w:start w:val="1"/>
      <w:numFmt w:val="decimal"/>
      <w:isLgl/>
      <w:lvlText w:val="%1.%2.%3.%4.%5.%6.%7"/>
      <w:lvlJc w:val="start"/>
      <w:pPr>
        <w:tabs>
          <w:tab w:val="num" w:pos="0"/>
        </w:tabs>
        <w:ind w:start="1440" w:hanging="1440"/>
      </w:pPr>
      <w:rPr/>
    </w:lvl>
    <w:lvl w:ilvl="7">
      <w:start w:val="1"/>
      <w:numFmt w:val="decimal"/>
      <w:isLgl/>
      <w:lvlText w:val="%1.%2.%3.%4.%5.%6.%7.%8"/>
      <w:lvlJc w:val="start"/>
      <w:pPr>
        <w:tabs>
          <w:tab w:val="num" w:pos="0"/>
        </w:tabs>
        <w:ind w:start="1800" w:hanging="1800"/>
      </w:pPr>
      <w:rPr/>
    </w:lvl>
    <w:lvl w:ilvl="8">
      <w:start w:val="1"/>
      <w:numFmt w:val="decimal"/>
      <w:isLgl/>
      <w:lvlText w:val="%1.%2.%3.%4.%5.%6.%7.%8.%9"/>
      <w:lvlJc w:val="start"/>
      <w:pPr>
        <w:tabs>
          <w:tab w:val="num" w:pos="0"/>
        </w:tabs>
        <w:ind w:start="1800" w:hanging="1800"/>
      </w:pPr>
      <w:rPr/>
    </w:lvl>
  </w:abstractNum>
  <w:abstractNum w:abstractNumId="6">
    <w:lvl w:ilvl="0">
      <w:start w:val="1"/>
      <w:numFmt w:val="decimal"/>
      <w:lvlText w:val="%1."/>
      <w:lvlJc w:val="start"/>
      <w:pPr>
        <w:tabs>
          <w:tab w:val="num" w:pos="0"/>
        </w:tabs>
        <w:ind w:start="360" w:hanging="360"/>
      </w:pPr>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7">
    <w:lvl w:ilvl="0">
      <w:start w:val="1"/>
      <w:numFmt w:val="decimal"/>
      <w:lvlText w:val="%1."/>
      <w:lvlJc w:val="start"/>
      <w:pPr>
        <w:tabs>
          <w:tab w:val="num" w:pos="0"/>
        </w:tabs>
        <w:ind w:start="360" w:hanging="360"/>
      </w:pPr>
      <w:rPr/>
    </w:lvl>
    <w:lvl w:ilvl="1">
      <w:start w:val="1"/>
      <w:numFmt w:val="lowerLetter"/>
      <w:lvlText w:val="%2."/>
      <w:lvlJc w:val="start"/>
      <w:pPr>
        <w:tabs>
          <w:tab w:val="num" w:pos="0"/>
        </w:tabs>
        <w:ind w:start="1080" w:hanging="360"/>
      </w:pPr>
      <w:rPr/>
    </w:lvl>
    <w:lvl w:ilvl="2">
      <w:start w:val="1"/>
      <w:numFmt w:val="lowerRoman"/>
      <w:lvlText w:val="%3."/>
      <w:lvlJc w:val="end"/>
      <w:pPr>
        <w:tabs>
          <w:tab w:val="num" w:pos="0"/>
        </w:tabs>
        <w:ind w:start="1800" w:hanging="180"/>
      </w:pPr>
      <w:rPr/>
    </w:lvl>
    <w:lvl w:ilvl="3">
      <w:start w:val="1"/>
      <w:numFmt w:val="decimal"/>
      <w:lvlText w:val="%4."/>
      <w:lvlJc w:val="start"/>
      <w:pPr>
        <w:tabs>
          <w:tab w:val="num" w:pos="0"/>
        </w:tabs>
        <w:ind w:start="2520" w:hanging="360"/>
      </w:pPr>
      <w:rPr/>
    </w:lvl>
    <w:lvl w:ilvl="4">
      <w:start w:val="1"/>
      <w:numFmt w:val="lowerLetter"/>
      <w:lvlText w:val="%5."/>
      <w:lvlJc w:val="start"/>
      <w:pPr>
        <w:tabs>
          <w:tab w:val="num" w:pos="0"/>
        </w:tabs>
        <w:ind w:start="3240" w:hanging="360"/>
      </w:pPr>
      <w:rPr/>
    </w:lvl>
    <w:lvl w:ilvl="5">
      <w:start w:val="1"/>
      <w:numFmt w:val="lowerRoman"/>
      <w:lvlText w:val="%6."/>
      <w:lvlJc w:val="end"/>
      <w:pPr>
        <w:tabs>
          <w:tab w:val="num" w:pos="0"/>
        </w:tabs>
        <w:ind w:start="3960" w:hanging="180"/>
      </w:pPr>
      <w:rPr/>
    </w:lvl>
    <w:lvl w:ilvl="6">
      <w:start w:val="1"/>
      <w:numFmt w:val="decimal"/>
      <w:lvlText w:val="%7."/>
      <w:lvlJc w:val="start"/>
      <w:pPr>
        <w:tabs>
          <w:tab w:val="num" w:pos="0"/>
        </w:tabs>
        <w:ind w:start="4680" w:hanging="360"/>
      </w:pPr>
      <w:rPr/>
    </w:lvl>
    <w:lvl w:ilvl="7">
      <w:start w:val="1"/>
      <w:numFmt w:val="lowerLetter"/>
      <w:lvlText w:val="%8."/>
      <w:lvlJc w:val="start"/>
      <w:pPr>
        <w:tabs>
          <w:tab w:val="num" w:pos="0"/>
        </w:tabs>
        <w:ind w:start="5400" w:hanging="360"/>
      </w:pPr>
      <w:rPr/>
    </w:lvl>
    <w:lvl w:ilvl="8">
      <w:start w:val="1"/>
      <w:numFmt w:val="lowerRoman"/>
      <w:lvlText w:val="%9."/>
      <w:lvlJc w:val="end"/>
      <w:pPr>
        <w:tabs>
          <w:tab w:val="num" w:pos="0"/>
        </w:tabs>
        <w:ind w:start="6120" w:hanging="180"/>
      </w:pPr>
      <w:rPr/>
    </w:lvl>
  </w:abstractNum>
  <w:abstractNum w:abstractNumId="8">
    <w:lvl w:ilvl="0">
      <w:start w:val="1"/>
      <w:numFmt w:val="lowerLetter"/>
      <w:lvlText w:val="%1)"/>
      <w:lvlJc w:val="start"/>
      <w:pPr>
        <w:tabs>
          <w:tab w:val="num" w:pos="0"/>
        </w:tabs>
        <w:ind w:start="644" w:hanging="360"/>
      </w:pPr>
      <w:rPr/>
    </w:lvl>
    <w:lvl w:ilvl="1">
      <w:start w:val="1"/>
      <w:numFmt w:val="lowerLetter"/>
      <w:lvlText w:val="%2."/>
      <w:lvlJc w:val="start"/>
      <w:pPr>
        <w:tabs>
          <w:tab w:val="num" w:pos="0"/>
        </w:tabs>
        <w:ind w:start="1364" w:hanging="360"/>
      </w:pPr>
      <w:rPr/>
    </w:lvl>
    <w:lvl w:ilvl="2">
      <w:start w:val="1"/>
      <w:numFmt w:val="lowerRoman"/>
      <w:lvlText w:val="%3."/>
      <w:lvlJc w:val="end"/>
      <w:pPr>
        <w:tabs>
          <w:tab w:val="num" w:pos="0"/>
        </w:tabs>
        <w:ind w:start="2084" w:hanging="180"/>
      </w:pPr>
      <w:rPr/>
    </w:lvl>
    <w:lvl w:ilvl="3">
      <w:start w:val="1"/>
      <w:numFmt w:val="decimal"/>
      <w:lvlText w:val="%4."/>
      <w:lvlJc w:val="start"/>
      <w:pPr>
        <w:tabs>
          <w:tab w:val="num" w:pos="0"/>
        </w:tabs>
        <w:ind w:start="2804" w:hanging="360"/>
      </w:pPr>
      <w:rPr/>
    </w:lvl>
    <w:lvl w:ilvl="4">
      <w:start w:val="1"/>
      <w:numFmt w:val="lowerLetter"/>
      <w:lvlText w:val="%5."/>
      <w:lvlJc w:val="start"/>
      <w:pPr>
        <w:tabs>
          <w:tab w:val="num" w:pos="0"/>
        </w:tabs>
        <w:ind w:start="3524" w:hanging="360"/>
      </w:pPr>
      <w:rPr/>
    </w:lvl>
    <w:lvl w:ilvl="5">
      <w:start w:val="1"/>
      <w:numFmt w:val="lowerRoman"/>
      <w:lvlText w:val="%6."/>
      <w:lvlJc w:val="end"/>
      <w:pPr>
        <w:tabs>
          <w:tab w:val="num" w:pos="0"/>
        </w:tabs>
        <w:ind w:start="4244" w:hanging="180"/>
      </w:pPr>
      <w:rPr/>
    </w:lvl>
    <w:lvl w:ilvl="6">
      <w:start w:val="1"/>
      <w:numFmt w:val="decimal"/>
      <w:lvlText w:val="%7."/>
      <w:lvlJc w:val="start"/>
      <w:pPr>
        <w:tabs>
          <w:tab w:val="num" w:pos="0"/>
        </w:tabs>
        <w:ind w:start="4964" w:hanging="360"/>
      </w:pPr>
      <w:rPr/>
    </w:lvl>
    <w:lvl w:ilvl="7">
      <w:start w:val="1"/>
      <w:numFmt w:val="lowerLetter"/>
      <w:lvlText w:val="%8."/>
      <w:lvlJc w:val="start"/>
      <w:pPr>
        <w:tabs>
          <w:tab w:val="num" w:pos="0"/>
        </w:tabs>
        <w:ind w:start="5684" w:hanging="360"/>
      </w:pPr>
      <w:rPr/>
    </w:lvl>
    <w:lvl w:ilvl="8">
      <w:start w:val="1"/>
      <w:numFmt w:val="lowerRoman"/>
      <w:lvlText w:val="%9."/>
      <w:lvlJc w:val="end"/>
      <w:pPr>
        <w:tabs>
          <w:tab w:val="num" w:pos="0"/>
        </w:tabs>
        <w:ind w:start="6404" w:hanging="180"/>
      </w:pPr>
      <w:rPr/>
    </w:lvl>
  </w:abstractNum>
  <w:abstractNum w:abstractNumId="9">
    <w:lvl w:ilvl="0">
      <w:start w:val="1"/>
      <w:numFmt w:val="decimal"/>
      <w:lvlText w:val="%1."/>
      <w:lvlJc w:val="start"/>
      <w:pPr>
        <w:tabs>
          <w:tab w:val="num" w:pos="0"/>
        </w:tabs>
        <w:ind w:start="360" w:hanging="360"/>
      </w:pPr>
      <w:rPr>
        <w:b w:val="false"/>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0">
    <w:lvl w:ilvl="0">
      <w:start w:val="1"/>
      <w:numFmt w:val="decimal"/>
      <w:lvlText w:val="%1."/>
      <w:lvlJc w:val="start"/>
      <w:pPr>
        <w:tabs>
          <w:tab w:val="num" w:pos="0"/>
        </w:tabs>
        <w:ind w:start="720" w:hanging="360"/>
      </w:pPr>
      <w:rPr/>
    </w:lvl>
    <w:lvl w:ilvl="1">
      <w:start w:val="1"/>
      <w:numFmt w:val="decimal"/>
      <w:isLgl/>
      <w:lvlText w:val="%2)"/>
      <w:lvlJc w:val="start"/>
      <w:pPr>
        <w:tabs>
          <w:tab w:val="num" w:pos="0"/>
        </w:tabs>
        <w:ind w:start="720" w:hanging="360"/>
      </w:pPr>
      <w:rPr>
        <w:rFonts w:ascii="Calibri" w:hAnsi="Calibri" w:eastAsia="Times New Roman" w:cs="Calibri" w:asciiTheme="minorHAnsi" w:cstheme="minorHAnsi" w:hAnsiTheme="minorHAnsi"/>
      </w:rPr>
    </w:lvl>
    <w:lvl w:ilvl="2">
      <w:start w:val="1"/>
      <w:numFmt w:val="decimal"/>
      <w:isLgl/>
      <w:lvlText w:val="%1.%2.%3."/>
      <w:lvlJc w:val="start"/>
      <w:pPr>
        <w:tabs>
          <w:tab w:val="num" w:pos="0"/>
        </w:tabs>
        <w:ind w:start="1080" w:hanging="720"/>
      </w:pPr>
      <w:rPr/>
    </w:lvl>
    <w:lvl w:ilvl="3">
      <w:start w:val="1"/>
      <w:numFmt w:val="decimal"/>
      <w:isLgl/>
      <w:lvlText w:val="%1.%2.%3.%4."/>
      <w:lvlJc w:val="start"/>
      <w:pPr>
        <w:tabs>
          <w:tab w:val="num" w:pos="0"/>
        </w:tabs>
        <w:ind w:start="1080" w:hanging="720"/>
      </w:pPr>
      <w:rPr/>
    </w:lvl>
    <w:lvl w:ilvl="4">
      <w:start w:val="1"/>
      <w:numFmt w:val="decimal"/>
      <w:isLgl/>
      <w:lvlText w:val="%1.%2.%3.%4.%5."/>
      <w:lvlJc w:val="start"/>
      <w:pPr>
        <w:tabs>
          <w:tab w:val="num" w:pos="0"/>
        </w:tabs>
        <w:ind w:start="1440" w:hanging="1080"/>
      </w:pPr>
      <w:rPr/>
    </w:lvl>
    <w:lvl w:ilvl="5">
      <w:start w:val="1"/>
      <w:numFmt w:val="decimal"/>
      <w:isLgl/>
      <w:lvlText w:val="%1.%2.%3.%4.%5.%6."/>
      <w:lvlJc w:val="start"/>
      <w:pPr>
        <w:tabs>
          <w:tab w:val="num" w:pos="0"/>
        </w:tabs>
        <w:ind w:start="1440" w:hanging="1080"/>
      </w:pPr>
      <w:rPr/>
    </w:lvl>
    <w:lvl w:ilvl="6">
      <w:start w:val="1"/>
      <w:numFmt w:val="decimal"/>
      <w:isLgl/>
      <w:lvlText w:val="%1.%2.%3.%4.%5.%6.%7."/>
      <w:lvlJc w:val="start"/>
      <w:pPr>
        <w:tabs>
          <w:tab w:val="num" w:pos="0"/>
        </w:tabs>
        <w:ind w:start="1800" w:hanging="1440"/>
      </w:pPr>
      <w:rPr/>
    </w:lvl>
    <w:lvl w:ilvl="7">
      <w:start w:val="1"/>
      <w:numFmt w:val="decimal"/>
      <w:isLgl/>
      <w:lvlText w:val="%1.%2.%3.%4.%5.%6.%7.%8."/>
      <w:lvlJc w:val="start"/>
      <w:pPr>
        <w:tabs>
          <w:tab w:val="num" w:pos="0"/>
        </w:tabs>
        <w:ind w:start="1800" w:hanging="1440"/>
      </w:pPr>
      <w:rPr/>
    </w:lvl>
    <w:lvl w:ilvl="8">
      <w:start w:val="1"/>
      <w:numFmt w:val="decimal"/>
      <w:isLgl/>
      <w:lvlText w:val="%1.%2.%3.%4.%5.%6.%7.%8.%9."/>
      <w:lvlJc w:val="start"/>
      <w:pPr>
        <w:tabs>
          <w:tab w:val="num" w:pos="0"/>
        </w:tabs>
        <w:ind w:start="2160" w:hanging="1800"/>
      </w:pPr>
      <w:rPr/>
    </w:lvl>
  </w:abstractNum>
  <w:abstractNum w:abstractNumId="11">
    <w:lvl w:ilvl="0">
      <w:start w:val="1"/>
      <w:numFmt w:val="lowerLetter"/>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2">
    <w:lvl w:ilvl="0">
      <w:start w:val="1"/>
      <w:numFmt w:val="lowerLetter"/>
      <w:lvlText w:val="%1)"/>
      <w:lvlJc w:val="start"/>
      <w:pPr>
        <w:tabs>
          <w:tab w:val="num" w:pos="0"/>
        </w:tabs>
        <w:ind w:start="720" w:hanging="360"/>
      </w:pPr>
      <w:rPr/>
    </w:lvl>
    <w:lvl w:ilvl="1">
      <w:start w:val="1"/>
      <w:numFmt w:val="decimal"/>
      <w:isLgl/>
      <w:lvlText w:val="%1.%2."/>
      <w:lvlJc w:val="start"/>
      <w:pPr>
        <w:tabs>
          <w:tab w:val="num" w:pos="0"/>
        </w:tabs>
        <w:ind w:start="720" w:hanging="360"/>
      </w:pPr>
      <w:rPr/>
    </w:lvl>
    <w:lvl w:ilvl="2">
      <w:start w:val="1"/>
      <w:numFmt w:val="decimal"/>
      <w:isLgl/>
      <w:lvlText w:val="%1.%2.%3."/>
      <w:lvlJc w:val="start"/>
      <w:pPr>
        <w:tabs>
          <w:tab w:val="num" w:pos="0"/>
        </w:tabs>
        <w:ind w:start="1080" w:hanging="720"/>
      </w:pPr>
      <w:rPr/>
    </w:lvl>
    <w:lvl w:ilvl="3">
      <w:start w:val="1"/>
      <w:numFmt w:val="decimal"/>
      <w:isLgl/>
      <w:lvlText w:val="%1.%2.%3.%4."/>
      <w:lvlJc w:val="start"/>
      <w:pPr>
        <w:tabs>
          <w:tab w:val="num" w:pos="0"/>
        </w:tabs>
        <w:ind w:start="1080" w:hanging="720"/>
      </w:pPr>
      <w:rPr/>
    </w:lvl>
    <w:lvl w:ilvl="4">
      <w:start w:val="1"/>
      <w:numFmt w:val="decimal"/>
      <w:isLgl/>
      <w:lvlText w:val="%1.%2.%3.%4.%5."/>
      <w:lvlJc w:val="start"/>
      <w:pPr>
        <w:tabs>
          <w:tab w:val="num" w:pos="0"/>
        </w:tabs>
        <w:ind w:start="1440" w:hanging="1080"/>
      </w:pPr>
      <w:rPr/>
    </w:lvl>
    <w:lvl w:ilvl="5">
      <w:start w:val="1"/>
      <w:numFmt w:val="decimal"/>
      <w:isLgl/>
      <w:lvlText w:val="%1.%2.%3.%4.%5.%6."/>
      <w:lvlJc w:val="start"/>
      <w:pPr>
        <w:tabs>
          <w:tab w:val="num" w:pos="0"/>
        </w:tabs>
        <w:ind w:start="1440" w:hanging="1080"/>
      </w:pPr>
      <w:rPr/>
    </w:lvl>
    <w:lvl w:ilvl="6">
      <w:start w:val="1"/>
      <w:numFmt w:val="decimal"/>
      <w:isLgl/>
      <w:lvlText w:val="%1.%2.%3.%4.%5.%6.%7."/>
      <w:lvlJc w:val="start"/>
      <w:pPr>
        <w:tabs>
          <w:tab w:val="num" w:pos="0"/>
        </w:tabs>
        <w:ind w:start="1800" w:hanging="1440"/>
      </w:pPr>
      <w:rPr/>
    </w:lvl>
    <w:lvl w:ilvl="7">
      <w:start w:val="1"/>
      <w:numFmt w:val="decimal"/>
      <w:isLgl/>
      <w:lvlText w:val="%1.%2.%3.%4.%5.%6.%7.%8."/>
      <w:lvlJc w:val="start"/>
      <w:pPr>
        <w:tabs>
          <w:tab w:val="num" w:pos="0"/>
        </w:tabs>
        <w:ind w:start="1800" w:hanging="1440"/>
      </w:pPr>
      <w:rPr/>
    </w:lvl>
    <w:lvl w:ilvl="8">
      <w:start w:val="1"/>
      <w:numFmt w:val="decimal"/>
      <w:isLgl/>
      <w:lvlText w:val="%1.%2.%3.%4.%5.%6.%7.%8.%9."/>
      <w:lvlJc w:val="start"/>
      <w:pPr>
        <w:tabs>
          <w:tab w:val="num" w:pos="0"/>
        </w:tabs>
        <w:ind w:start="2160" w:hanging="1800"/>
      </w:pPr>
      <w:rPr/>
    </w:lvl>
  </w:abstractNum>
  <w:abstractNum w:abstractNumId="13">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720" w:hanging="360"/>
      </w:pPr>
      <w:rPr/>
    </w:lvl>
    <w:lvl w:ilvl="2">
      <w:start w:val="1"/>
      <w:numFmt w:val="decimal"/>
      <w:isLgl/>
      <w:lvlText w:val="%1.%2.%3."/>
      <w:lvlJc w:val="start"/>
      <w:pPr>
        <w:tabs>
          <w:tab w:val="num" w:pos="0"/>
        </w:tabs>
        <w:ind w:start="1080" w:hanging="720"/>
      </w:pPr>
      <w:rPr/>
    </w:lvl>
    <w:lvl w:ilvl="3">
      <w:start w:val="1"/>
      <w:numFmt w:val="decimal"/>
      <w:isLgl/>
      <w:lvlText w:val="%1.%2.%3.%4."/>
      <w:lvlJc w:val="start"/>
      <w:pPr>
        <w:tabs>
          <w:tab w:val="num" w:pos="0"/>
        </w:tabs>
        <w:ind w:start="1080" w:hanging="720"/>
      </w:pPr>
      <w:rPr/>
    </w:lvl>
    <w:lvl w:ilvl="4">
      <w:start w:val="1"/>
      <w:numFmt w:val="decimal"/>
      <w:isLgl/>
      <w:lvlText w:val="%1.%2.%3.%4.%5."/>
      <w:lvlJc w:val="start"/>
      <w:pPr>
        <w:tabs>
          <w:tab w:val="num" w:pos="0"/>
        </w:tabs>
        <w:ind w:start="1440" w:hanging="1080"/>
      </w:pPr>
      <w:rPr/>
    </w:lvl>
    <w:lvl w:ilvl="5">
      <w:start w:val="1"/>
      <w:numFmt w:val="decimal"/>
      <w:isLgl/>
      <w:lvlText w:val="%1.%2.%3.%4.%5.%6."/>
      <w:lvlJc w:val="start"/>
      <w:pPr>
        <w:tabs>
          <w:tab w:val="num" w:pos="0"/>
        </w:tabs>
        <w:ind w:start="1440" w:hanging="1080"/>
      </w:pPr>
      <w:rPr/>
    </w:lvl>
    <w:lvl w:ilvl="6">
      <w:start w:val="1"/>
      <w:numFmt w:val="decimal"/>
      <w:isLgl/>
      <w:lvlText w:val="%1.%2.%3.%4.%5.%6.%7."/>
      <w:lvlJc w:val="start"/>
      <w:pPr>
        <w:tabs>
          <w:tab w:val="num" w:pos="0"/>
        </w:tabs>
        <w:ind w:start="1800" w:hanging="1440"/>
      </w:pPr>
      <w:rPr/>
    </w:lvl>
    <w:lvl w:ilvl="7">
      <w:start w:val="1"/>
      <w:numFmt w:val="decimal"/>
      <w:isLgl/>
      <w:lvlText w:val="%1.%2.%3.%4.%5.%6.%7.%8."/>
      <w:lvlJc w:val="start"/>
      <w:pPr>
        <w:tabs>
          <w:tab w:val="num" w:pos="0"/>
        </w:tabs>
        <w:ind w:start="1800" w:hanging="1440"/>
      </w:pPr>
      <w:rPr/>
    </w:lvl>
    <w:lvl w:ilvl="8">
      <w:start w:val="1"/>
      <w:numFmt w:val="decimal"/>
      <w:isLgl/>
      <w:lvlText w:val="%1.%2.%3.%4.%5.%6.%7.%8.%9."/>
      <w:lvlJc w:val="start"/>
      <w:pPr>
        <w:tabs>
          <w:tab w:val="num" w:pos="0"/>
        </w:tabs>
        <w:ind w:start="2160" w:hanging="1800"/>
      </w:pPr>
      <w:rPr/>
    </w:lvl>
  </w:abstractNum>
  <w:abstractNum w:abstractNumId="14">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720" w:hanging="360"/>
      </w:pPr>
      <w:rPr/>
    </w:lvl>
    <w:lvl w:ilvl="2">
      <w:start w:val="1"/>
      <w:numFmt w:val="decimal"/>
      <w:isLgl/>
      <w:lvlText w:val="%1.%2.%3."/>
      <w:lvlJc w:val="start"/>
      <w:pPr>
        <w:tabs>
          <w:tab w:val="num" w:pos="0"/>
        </w:tabs>
        <w:ind w:start="1080" w:hanging="720"/>
      </w:pPr>
      <w:rPr/>
    </w:lvl>
    <w:lvl w:ilvl="3">
      <w:start w:val="1"/>
      <w:numFmt w:val="decimal"/>
      <w:isLgl/>
      <w:lvlText w:val="%1.%2.%3.%4."/>
      <w:lvlJc w:val="start"/>
      <w:pPr>
        <w:tabs>
          <w:tab w:val="num" w:pos="0"/>
        </w:tabs>
        <w:ind w:start="1080" w:hanging="720"/>
      </w:pPr>
      <w:rPr/>
    </w:lvl>
    <w:lvl w:ilvl="4">
      <w:start w:val="1"/>
      <w:numFmt w:val="decimal"/>
      <w:isLgl/>
      <w:lvlText w:val="%1.%2.%3.%4.%5."/>
      <w:lvlJc w:val="start"/>
      <w:pPr>
        <w:tabs>
          <w:tab w:val="num" w:pos="0"/>
        </w:tabs>
        <w:ind w:start="1440" w:hanging="1080"/>
      </w:pPr>
      <w:rPr/>
    </w:lvl>
    <w:lvl w:ilvl="5">
      <w:start w:val="1"/>
      <w:numFmt w:val="decimal"/>
      <w:isLgl/>
      <w:lvlText w:val="%1.%2.%3.%4.%5.%6."/>
      <w:lvlJc w:val="start"/>
      <w:pPr>
        <w:tabs>
          <w:tab w:val="num" w:pos="0"/>
        </w:tabs>
        <w:ind w:start="1440" w:hanging="1080"/>
      </w:pPr>
      <w:rPr/>
    </w:lvl>
    <w:lvl w:ilvl="6">
      <w:start w:val="1"/>
      <w:numFmt w:val="decimal"/>
      <w:isLgl/>
      <w:lvlText w:val="%1.%2.%3.%4.%5.%6.%7."/>
      <w:lvlJc w:val="start"/>
      <w:pPr>
        <w:tabs>
          <w:tab w:val="num" w:pos="0"/>
        </w:tabs>
        <w:ind w:start="1800" w:hanging="1440"/>
      </w:pPr>
      <w:rPr/>
    </w:lvl>
    <w:lvl w:ilvl="7">
      <w:start w:val="1"/>
      <w:numFmt w:val="decimal"/>
      <w:isLgl/>
      <w:lvlText w:val="%1.%2.%3.%4.%5.%6.%7.%8."/>
      <w:lvlJc w:val="start"/>
      <w:pPr>
        <w:tabs>
          <w:tab w:val="num" w:pos="0"/>
        </w:tabs>
        <w:ind w:start="1800" w:hanging="1440"/>
      </w:pPr>
      <w:rPr/>
    </w:lvl>
    <w:lvl w:ilvl="8">
      <w:start w:val="1"/>
      <w:numFmt w:val="decimal"/>
      <w:isLgl/>
      <w:lvlText w:val="%1.%2.%3.%4.%5.%6.%7.%8.%9."/>
      <w:lvlJc w:val="start"/>
      <w:pPr>
        <w:tabs>
          <w:tab w:val="num" w:pos="0"/>
        </w:tabs>
        <w:ind w:start="2160" w:hanging="1800"/>
      </w:pPr>
      <w:rPr/>
    </w:lvl>
  </w:abstractNum>
  <w:abstractNum w:abstractNumId="15">
    <w:lvl w:ilvl="0">
      <w:start w:val="1"/>
      <w:numFmt w:val="decimal"/>
      <w:lvlText w:val="%1."/>
      <w:lvlJc w:val="start"/>
      <w:pPr>
        <w:tabs>
          <w:tab w:val="num" w:pos="0"/>
        </w:tabs>
        <w:ind w:start="720" w:hanging="360"/>
      </w:pPr>
      <w:rPr/>
    </w:lvl>
    <w:lvl w:ilvl="1">
      <w:start w:val="0"/>
      <w:numFmt w:val="bullet"/>
      <w:lvlText w:val=""/>
      <w:lvlJc w:val="start"/>
      <w:pPr>
        <w:tabs>
          <w:tab w:val="num" w:pos="0"/>
        </w:tabs>
        <w:ind w:start="0" w:hanging="0"/>
      </w:pPr>
      <w:rPr>
        <w:rFonts w:ascii="OpenSymbol" w:hAnsi="OpenSymbol" w:cs="OpenSymbol" w:hint="default"/>
      </w:rPr>
    </w:lvl>
    <w:lvl w:ilvl="2">
      <w:start w:val="0"/>
      <w:numFmt w:val="bullet"/>
      <w:lvlText w:val=""/>
      <w:lvlJc w:val="start"/>
      <w:pPr>
        <w:tabs>
          <w:tab w:val="num" w:pos="0"/>
        </w:tabs>
        <w:ind w:start="0" w:hanging="0"/>
      </w:pPr>
      <w:rPr>
        <w:rFonts w:ascii="OpenSymbol" w:hAnsi="OpenSymbol" w:cs="OpenSymbol" w:hint="default"/>
      </w:rPr>
    </w:lvl>
    <w:lvl w:ilvl="3">
      <w:start w:val="0"/>
      <w:numFmt w:val="bullet"/>
      <w:lvlText w:val=""/>
      <w:lvlJc w:val="start"/>
      <w:pPr>
        <w:tabs>
          <w:tab w:val="num" w:pos="0"/>
        </w:tabs>
        <w:ind w:start="0" w:hanging="0"/>
      </w:pPr>
      <w:rPr>
        <w:rFonts w:ascii="OpenSymbol" w:hAnsi="OpenSymbol" w:cs="OpenSymbol" w:hint="default"/>
      </w:rPr>
    </w:lvl>
    <w:lvl w:ilvl="4">
      <w:start w:val="0"/>
      <w:numFmt w:val="bullet"/>
      <w:lvlText w:val=""/>
      <w:lvlJc w:val="start"/>
      <w:pPr>
        <w:tabs>
          <w:tab w:val="num" w:pos="0"/>
        </w:tabs>
        <w:ind w:start="0" w:hanging="0"/>
      </w:pPr>
      <w:rPr>
        <w:rFonts w:ascii="OpenSymbol" w:hAnsi="OpenSymbol" w:cs="OpenSymbol" w:hint="default"/>
      </w:rPr>
    </w:lvl>
    <w:lvl w:ilvl="5">
      <w:start w:val="0"/>
      <w:numFmt w:val="bullet"/>
      <w:lvlText w:val=""/>
      <w:lvlJc w:val="start"/>
      <w:pPr>
        <w:tabs>
          <w:tab w:val="num" w:pos="0"/>
        </w:tabs>
        <w:ind w:start="0" w:hanging="0"/>
      </w:pPr>
      <w:rPr>
        <w:rFonts w:ascii="OpenSymbol" w:hAnsi="OpenSymbol" w:cs="OpenSymbol" w:hint="default"/>
      </w:rPr>
    </w:lvl>
    <w:lvl w:ilvl="6">
      <w:start w:val="0"/>
      <w:numFmt w:val="bullet"/>
      <w:lvlText w:val=""/>
      <w:lvlJc w:val="start"/>
      <w:pPr>
        <w:tabs>
          <w:tab w:val="num" w:pos="0"/>
        </w:tabs>
        <w:ind w:start="0" w:hanging="0"/>
      </w:pPr>
      <w:rPr>
        <w:rFonts w:ascii="OpenSymbol" w:hAnsi="OpenSymbol" w:cs="OpenSymbol" w:hint="default"/>
      </w:rPr>
    </w:lvl>
    <w:lvl w:ilvl="7">
      <w:start w:val="0"/>
      <w:numFmt w:val="bullet"/>
      <w:lvlText w:val=""/>
      <w:lvlJc w:val="start"/>
      <w:pPr>
        <w:tabs>
          <w:tab w:val="num" w:pos="0"/>
        </w:tabs>
        <w:ind w:start="0" w:hanging="0"/>
      </w:pPr>
      <w:rPr>
        <w:rFonts w:ascii="OpenSymbol" w:hAnsi="OpenSymbol" w:cs="OpenSymbol" w:hint="default"/>
      </w:rPr>
    </w:lvl>
    <w:lvl w:ilvl="8">
      <w:start w:val="0"/>
      <w:numFmt w:val="bullet"/>
      <w:lvlText w:val=""/>
      <w:lvlJc w:val="start"/>
      <w:pPr>
        <w:tabs>
          <w:tab w:val="num" w:pos="0"/>
        </w:tabs>
        <w:ind w:start="0" w:hanging="0"/>
      </w:pPr>
      <w:rPr>
        <w:rFonts w:ascii="OpenSymbol" w:hAnsi="OpenSymbol" w:cs="OpenSymbol" w:hint="default"/>
      </w:rPr>
    </w:lvl>
  </w:abstractNum>
  <w:abstractNum w:abstractNumId="16">
    <w:lvl w:ilvl="0">
      <w:start w:val="1"/>
      <w:numFmt w:val="bullet"/>
      <w:lvlText w:val=""/>
      <w:lvlJc w:val="start"/>
      <w:pPr>
        <w:tabs>
          <w:tab w:val="num" w:pos="0"/>
        </w:tabs>
        <w:ind w:start="720" w:hanging="360"/>
      </w:pPr>
      <w:rPr>
        <w:rFonts w:ascii="Symbol" w:hAnsi="Symbol" w:cs="Symbol" w:hint="default"/>
        <w:sz w:val="20"/>
        <w:szCs w:val="20"/>
        <w:lang w:val="pl-PL"/>
      </w:rPr>
    </w:lvl>
    <w:lvl w:ilvl="1">
      <w:start w:val="0"/>
      <w:numFmt w:val="bullet"/>
      <w:lvlText w:val=""/>
      <w:lvlJc w:val="start"/>
      <w:pPr>
        <w:tabs>
          <w:tab w:val="num" w:pos="0"/>
        </w:tabs>
        <w:ind w:start="0" w:hanging="0"/>
      </w:pPr>
      <w:rPr>
        <w:rFonts w:ascii="OpenSymbol" w:hAnsi="OpenSymbol" w:cs="OpenSymbol" w:hint="default"/>
      </w:rPr>
    </w:lvl>
    <w:lvl w:ilvl="2">
      <w:start w:val="0"/>
      <w:numFmt w:val="bullet"/>
      <w:lvlText w:val=""/>
      <w:lvlJc w:val="start"/>
      <w:pPr>
        <w:tabs>
          <w:tab w:val="num" w:pos="0"/>
        </w:tabs>
        <w:ind w:start="0" w:hanging="0"/>
      </w:pPr>
      <w:rPr>
        <w:rFonts w:ascii="OpenSymbol" w:hAnsi="OpenSymbol" w:cs="OpenSymbol" w:hint="default"/>
      </w:rPr>
    </w:lvl>
    <w:lvl w:ilvl="3">
      <w:start w:val="0"/>
      <w:numFmt w:val="bullet"/>
      <w:lvlText w:val=""/>
      <w:lvlJc w:val="start"/>
      <w:pPr>
        <w:tabs>
          <w:tab w:val="num" w:pos="0"/>
        </w:tabs>
        <w:ind w:start="0" w:hanging="0"/>
      </w:pPr>
      <w:rPr>
        <w:rFonts w:ascii="OpenSymbol" w:hAnsi="OpenSymbol" w:cs="OpenSymbol" w:hint="default"/>
      </w:rPr>
    </w:lvl>
    <w:lvl w:ilvl="4">
      <w:start w:val="0"/>
      <w:numFmt w:val="bullet"/>
      <w:lvlText w:val=""/>
      <w:lvlJc w:val="start"/>
      <w:pPr>
        <w:tabs>
          <w:tab w:val="num" w:pos="0"/>
        </w:tabs>
        <w:ind w:start="0" w:hanging="0"/>
      </w:pPr>
      <w:rPr>
        <w:rFonts w:ascii="OpenSymbol" w:hAnsi="OpenSymbol" w:cs="OpenSymbol" w:hint="default"/>
      </w:rPr>
    </w:lvl>
    <w:lvl w:ilvl="5">
      <w:start w:val="0"/>
      <w:numFmt w:val="bullet"/>
      <w:lvlText w:val=""/>
      <w:lvlJc w:val="start"/>
      <w:pPr>
        <w:tabs>
          <w:tab w:val="num" w:pos="0"/>
        </w:tabs>
        <w:ind w:start="0" w:hanging="0"/>
      </w:pPr>
      <w:rPr>
        <w:rFonts w:ascii="OpenSymbol" w:hAnsi="OpenSymbol" w:cs="OpenSymbol" w:hint="default"/>
      </w:rPr>
    </w:lvl>
    <w:lvl w:ilvl="6">
      <w:start w:val="0"/>
      <w:numFmt w:val="bullet"/>
      <w:lvlText w:val=""/>
      <w:lvlJc w:val="start"/>
      <w:pPr>
        <w:tabs>
          <w:tab w:val="num" w:pos="0"/>
        </w:tabs>
        <w:ind w:start="0" w:hanging="0"/>
      </w:pPr>
      <w:rPr>
        <w:rFonts w:ascii="OpenSymbol" w:hAnsi="OpenSymbol" w:cs="OpenSymbol" w:hint="default"/>
      </w:rPr>
    </w:lvl>
    <w:lvl w:ilvl="7">
      <w:start w:val="0"/>
      <w:numFmt w:val="bullet"/>
      <w:lvlText w:val=""/>
      <w:lvlJc w:val="start"/>
      <w:pPr>
        <w:tabs>
          <w:tab w:val="num" w:pos="0"/>
        </w:tabs>
        <w:ind w:start="0" w:hanging="0"/>
      </w:pPr>
      <w:rPr>
        <w:rFonts w:ascii="OpenSymbol" w:hAnsi="OpenSymbol" w:cs="OpenSymbol" w:hint="default"/>
      </w:rPr>
    </w:lvl>
    <w:lvl w:ilvl="8">
      <w:start w:val="0"/>
      <w:numFmt w:val="bullet"/>
      <w:lvlText w:val=""/>
      <w:lvlJc w:val="start"/>
      <w:pPr>
        <w:tabs>
          <w:tab w:val="num" w:pos="0"/>
        </w:tabs>
        <w:ind w:start="0" w:hanging="0"/>
      </w:pPr>
      <w:rPr>
        <w:rFonts w:ascii="OpenSymbol" w:hAnsi="OpenSymbol" w:cs="OpenSymbol" w:hint="default"/>
      </w:rPr>
    </w:lvl>
  </w:abstractNum>
  <w:abstractNum w:abstractNumId="17">
    <w:lvl w:ilvl="0">
      <w:start w:val="1"/>
      <w:numFmt w:val="lowerLetter"/>
      <w:lvlText w:val="%1)"/>
      <w:lvlJc w:val="start"/>
      <w:pPr>
        <w:tabs>
          <w:tab w:val="num" w:pos="0"/>
        </w:tabs>
        <w:ind w:start="717" w:hanging="360"/>
      </w:pPr>
      <w:rPr>
        <w:iCs/>
        <w:sz w:val="20"/>
        <w:szCs w:val="20"/>
        <w:lang w:val="pl-PL"/>
      </w:rPr>
    </w:lvl>
    <w:lvl w:ilvl="1">
      <w:start w:val="0"/>
      <w:numFmt w:val="bullet"/>
      <w:lvlText w:val=""/>
      <w:lvlJc w:val="start"/>
      <w:pPr>
        <w:tabs>
          <w:tab w:val="num" w:pos="0"/>
        </w:tabs>
        <w:ind w:start="0" w:hanging="0"/>
      </w:pPr>
      <w:rPr>
        <w:rFonts w:ascii="OpenSymbol" w:hAnsi="OpenSymbol" w:cs="OpenSymbol" w:hint="default"/>
      </w:rPr>
    </w:lvl>
    <w:lvl w:ilvl="2">
      <w:start w:val="0"/>
      <w:numFmt w:val="bullet"/>
      <w:lvlText w:val=""/>
      <w:lvlJc w:val="start"/>
      <w:pPr>
        <w:tabs>
          <w:tab w:val="num" w:pos="0"/>
        </w:tabs>
        <w:ind w:start="0" w:hanging="0"/>
      </w:pPr>
      <w:rPr>
        <w:rFonts w:ascii="OpenSymbol" w:hAnsi="OpenSymbol" w:cs="OpenSymbol" w:hint="default"/>
      </w:rPr>
    </w:lvl>
    <w:lvl w:ilvl="3">
      <w:start w:val="0"/>
      <w:numFmt w:val="bullet"/>
      <w:lvlText w:val=""/>
      <w:lvlJc w:val="start"/>
      <w:pPr>
        <w:tabs>
          <w:tab w:val="num" w:pos="0"/>
        </w:tabs>
        <w:ind w:start="0" w:hanging="0"/>
      </w:pPr>
      <w:rPr>
        <w:rFonts w:ascii="OpenSymbol" w:hAnsi="OpenSymbol" w:cs="OpenSymbol" w:hint="default"/>
      </w:rPr>
    </w:lvl>
    <w:lvl w:ilvl="4">
      <w:start w:val="0"/>
      <w:numFmt w:val="bullet"/>
      <w:lvlText w:val=""/>
      <w:lvlJc w:val="start"/>
      <w:pPr>
        <w:tabs>
          <w:tab w:val="num" w:pos="0"/>
        </w:tabs>
        <w:ind w:start="0" w:hanging="0"/>
      </w:pPr>
      <w:rPr>
        <w:rFonts w:ascii="OpenSymbol" w:hAnsi="OpenSymbol" w:cs="OpenSymbol" w:hint="default"/>
      </w:rPr>
    </w:lvl>
    <w:lvl w:ilvl="5">
      <w:start w:val="0"/>
      <w:numFmt w:val="bullet"/>
      <w:lvlText w:val=""/>
      <w:lvlJc w:val="start"/>
      <w:pPr>
        <w:tabs>
          <w:tab w:val="num" w:pos="0"/>
        </w:tabs>
        <w:ind w:start="0" w:hanging="0"/>
      </w:pPr>
      <w:rPr>
        <w:rFonts w:ascii="OpenSymbol" w:hAnsi="OpenSymbol" w:cs="OpenSymbol" w:hint="default"/>
      </w:rPr>
    </w:lvl>
    <w:lvl w:ilvl="6">
      <w:start w:val="0"/>
      <w:numFmt w:val="bullet"/>
      <w:lvlText w:val=""/>
      <w:lvlJc w:val="start"/>
      <w:pPr>
        <w:tabs>
          <w:tab w:val="num" w:pos="0"/>
        </w:tabs>
        <w:ind w:start="0" w:hanging="0"/>
      </w:pPr>
      <w:rPr>
        <w:rFonts w:ascii="OpenSymbol" w:hAnsi="OpenSymbol" w:cs="OpenSymbol" w:hint="default"/>
      </w:rPr>
    </w:lvl>
    <w:lvl w:ilvl="7">
      <w:start w:val="0"/>
      <w:numFmt w:val="bullet"/>
      <w:lvlText w:val=""/>
      <w:lvlJc w:val="start"/>
      <w:pPr>
        <w:tabs>
          <w:tab w:val="num" w:pos="0"/>
        </w:tabs>
        <w:ind w:start="0" w:hanging="0"/>
      </w:pPr>
      <w:rPr>
        <w:rFonts w:ascii="OpenSymbol" w:hAnsi="OpenSymbol" w:cs="OpenSymbol" w:hint="default"/>
      </w:rPr>
    </w:lvl>
    <w:lvl w:ilvl="8">
      <w:start w:val="0"/>
      <w:numFmt w:val="bullet"/>
      <w:lvlText w:val=""/>
      <w:lvlJc w:val="start"/>
      <w:pPr>
        <w:tabs>
          <w:tab w:val="num" w:pos="0"/>
        </w:tabs>
        <w:ind w:start="0" w:hanging="0"/>
      </w:pPr>
      <w:rPr>
        <w:rFonts w:ascii="OpenSymbol" w:hAnsi="OpenSymbol" w:cs="OpenSymbol" w:hint="default"/>
      </w:rPr>
    </w:lvl>
  </w:abstractNum>
  <w:abstractNum w:abstractNumId="18">
    <w:lvl w:ilvl="0">
      <w:start w:val="1"/>
      <w:numFmt w:val="decimal"/>
      <w:lvlText w:val="%1)"/>
      <w:lvlJc w:val="start"/>
      <w:pPr>
        <w:tabs>
          <w:tab w:val="num" w:pos="0"/>
        </w:tabs>
        <w:ind w:start="1080" w:hanging="360"/>
      </w:pPr>
      <w:rPr/>
    </w:lvl>
    <w:lvl w:ilvl="1">
      <w:start w:val="1"/>
      <w:numFmt w:val="lowerLetter"/>
      <w:lvlText w:val="%2."/>
      <w:lvlJc w:val="start"/>
      <w:pPr>
        <w:tabs>
          <w:tab w:val="num" w:pos="0"/>
        </w:tabs>
        <w:ind w:start="1800" w:hanging="360"/>
      </w:pPr>
      <w:rPr/>
    </w:lvl>
    <w:lvl w:ilvl="2">
      <w:start w:val="1"/>
      <w:numFmt w:val="lowerRoman"/>
      <w:lvlText w:val="%3."/>
      <w:lvlJc w:val="end"/>
      <w:pPr>
        <w:tabs>
          <w:tab w:val="num" w:pos="0"/>
        </w:tabs>
        <w:ind w:start="2520" w:hanging="180"/>
      </w:pPr>
      <w:rPr/>
    </w:lvl>
    <w:lvl w:ilvl="3">
      <w:start w:val="1"/>
      <w:numFmt w:val="decimal"/>
      <w:lvlText w:val="%4."/>
      <w:lvlJc w:val="start"/>
      <w:pPr>
        <w:tabs>
          <w:tab w:val="num" w:pos="0"/>
        </w:tabs>
        <w:ind w:start="3240" w:hanging="360"/>
      </w:pPr>
      <w:rPr/>
    </w:lvl>
    <w:lvl w:ilvl="4">
      <w:start w:val="1"/>
      <w:numFmt w:val="lowerLetter"/>
      <w:lvlText w:val="%5."/>
      <w:lvlJc w:val="start"/>
      <w:pPr>
        <w:tabs>
          <w:tab w:val="num" w:pos="0"/>
        </w:tabs>
        <w:ind w:start="3960" w:hanging="360"/>
      </w:pPr>
      <w:rPr/>
    </w:lvl>
    <w:lvl w:ilvl="5">
      <w:start w:val="1"/>
      <w:numFmt w:val="lowerRoman"/>
      <w:lvlText w:val="%6."/>
      <w:lvlJc w:val="end"/>
      <w:pPr>
        <w:tabs>
          <w:tab w:val="num" w:pos="0"/>
        </w:tabs>
        <w:ind w:start="4680" w:hanging="180"/>
      </w:pPr>
      <w:rPr/>
    </w:lvl>
    <w:lvl w:ilvl="6">
      <w:start w:val="1"/>
      <w:numFmt w:val="decimal"/>
      <w:lvlText w:val="%7."/>
      <w:lvlJc w:val="start"/>
      <w:pPr>
        <w:tabs>
          <w:tab w:val="num" w:pos="0"/>
        </w:tabs>
        <w:ind w:start="5400" w:hanging="360"/>
      </w:pPr>
      <w:rPr/>
    </w:lvl>
    <w:lvl w:ilvl="7">
      <w:start w:val="1"/>
      <w:numFmt w:val="lowerLetter"/>
      <w:lvlText w:val="%8."/>
      <w:lvlJc w:val="start"/>
      <w:pPr>
        <w:tabs>
          <w:tab w:val="num" w:pos="0"/>
        </w:tabs>
        <w:ind w:start="6120" w:hanging="360"/>
      </w:pPr>
      <w:rPr/>
    </w:lvl>
    <w:lvl w:ilvl="8">
      <w:start w:val="1"/>
      <w:numFmt w:val="lowerRoman"/>
      <w:lvlText w:val="%9."/>
      <w:lvlJc w:val="end"/>
      <w:pPr>
        <w:tabs>
          <w:tab w:val="num" w:pos="0"/>
        </w:tabs>
        <w:ind w:start="6840" w:hanging="180"/>
      </w:pPr>
      <w:rPr/>
    </w:lvl>
  </w:abstractNum>
  <w:abstractNum w:abstractNumId="19">
    <w:lvl w:ilvl="0">
      <w:start w:val="1"/>
      <w:numFmt w:val="decimal"/>
      <w:lvlText w:val="%1)"/>
      <w:lvlJc w:val="start"/>
      <w:pPr>
        <w:tabs>
          <w:tab w:val="num" w:pos="0"/>
        </w:tabs>
        <w:ind w:start="1080" w:hanging="360"/>
      </w:pPr>
      <w:rPr/>
    </w:lvl>
    <w:lvl w:ilvl="1">
      <w:start w:val="1"/>
      <w:numFmt w:val="lowerLetter"/>
      <w:lvlText w:val="%2."/>
      <w:lvlJc w:val="start"/>
      <w:pPr>
        <w:tabs>
          <w:tab w:val="num" w:pos="0"/>
        </w:tabs>
        <w:ind w:start="1800" w:hanging="360"/>
      </w:pPr>
      <w:rPr/>
    </w:lvl>
    <w:lvl w:ilvl="2">
      <w:start w:val="1"/>
      <w:numFmt w:val="lowerRoman"/>
      <w:lvlText w:val="%3."/>
      <w:lvlJc w:val="end"/>
      <w:pPr>
        <w:tabs>
          <w:tab w:val="num" w:pos="0"/>
        </w:tabs>
        <w:ind w:start="2520" w:hanging="180"/>
      </w:pPr>
      <w:rPr/>
    </w:lvl>
    <w:lvl w:ilvl="3">
      <w:start w:val="1"/>
      <w:numFmt w:val="decimal"/>
      <w:lvlText w:val="%4."/>
      <w:lvlJc w:val="start"/>
      <w:pPr>
        <w:tabs>
          <w:tab w:val="num" w:pos="0"/>
        </w:tabs>
        <w:ind w:start="3240" w:hanging="360"/>
      </w:pPr>
      <w:rPr/>
    </w:lvl>
    <w:lvl w:ilvl="4">
      <w:start w:val="1"/>
      <w:numFmt w:val="lowerLetter"/>
      <w:lvlText w:val="%5."/>
      <w:lvlJc w:val="start"/>
      <w:pPr>
        <w:tabs>
          <w:tab w:val="num" w:pos="0"/>
        </w:tabs>
        <w:ind w:start="3960" w:hanging="360"/>
      </w:pPr>
      <w:rPr/>
    </w:lvl>
    <w:lvl w:ilvl="5">
      <w:start w:val="1"/>
      <w:numFmt w:val="lowerRoman"/>
      <w:lvlText w:val="%6."/>
      <w:lvlJc w:val="end"/>
      <w:pPr>
        <w:tabs>
          <w:tab w:val="num" w:pos="0"/>
        </w:tabs>
        <w:ind w:start="4680" w:hanging="180"/>
      </w:pPr>
      <w:rPr/>
    </w:lvl>
    <w:lvl w:ilvl="6">
      <w:start w:val="1"/>
      <w:numFmt w:val="decimal"/>
      <w:lvlText w:val="%7."/>
      <w:lvlJc w:val="start"/>
      <w:pPr>
        <w:tabs>
          <w:tab w:val="num" w:pos="0"/>
        </w:tabs>
        <w:ind w:start="5400" w:hanging="360"/>
      </w:pPr>
      <w:rPr/>
    </w:lvl>
    <w:lvl w:ilvl="7">
      <w:start w:val="1"/>
      <w:numFmt w:val="lowerLetter"/>
      <w:lvlText w:val="%8."/>
      <w:lvlJc w:val="start"/>
      <w:pPr>
        <w:tabs>
          <w:tab w:val="num" w:pos="0"/>
        </w:tabs>
        <w:ind w:start="6120" w:hanging="360"/>
      </w:pPr>
      <w:rPr/>
    </w:lvl>
    <w:lvl w:ilvl="8">
      <w:start w:val="1"/>
      <w:numFmt w:val="lowerRoman"/>
      <w:lvlText w:val="%9."/>
      <w:lvlJc w:val="end"/>
      <w:pPr>
        <w:tabs>
          <w:tab w:val="num" w:pos="0"/>
        </w:tabs>
        <w:ind w:start="6840" w:hanging="180"/>
      </w:pPr>
      <w:rPr/>
    </w:lvl>
  </w:abstractNum>
  <w:abstractNum w:abstractNumId="20">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decimal"/>
      <w:lvlText w:val="%3)"/>
      <w:lvlJc w:val="start"/>
      <w:pPr>
        <w:tabs>
          <w:tab w:val="num" w:pos="0"/>
        </w:tabs>
        <w:ind w:start="2340" w:hanging="36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1">
    <w:lvl w:ilvl="0">
      <w:start w:val="1"/>
      <w:numFmt w:val="decimal"/>
      <w:lvlText w:val="%1."/>
      <w:lvlJc w:val="start"/>
      <w:pPr>
        <w:tabs>
          <w:tab w:val="num" w:pos="0"/>
        </w:tabs>
        <w:ind w:start="720" w:hanging="360"/>
      </w:pPr>
      <w:rPr>
        <w:rFonts w:ascii="Calibri" w:hAnsi="Calibri" w:cs="Calibri" w:asciiTheme="minorHAnsi" w:cstheme="minorHAnsi" w:hAnsiTheme="minorHAnsi"/>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2">
    <w:lvl w:ilvl="0">
      <w:start w:val="1"/>
      <w:numFmt w:val="decimal"/>
      <w:lvlText w:val="%1."/>
      <w:lvlJc w:val="start"/>
      <w:pPr>
        <w:tabs>
          <w:tab w:val="num" w:pos="0"/>
        </w:tabs>
        <w:ind w:start="720" w:hanging="360"/>
      </w:pPr>
      <w:rPr>
        <w:rFonts w:ascii="Calibri" w:hAnsi="Calibri" w:eastAsia="Calibri" w:cs="Calibri" w:asciiTheme="minorHAnsi" w:cstheme="minorHAnsi" w:hAnsiTheme="minorHAnsi"/>
        <w:color w:val="auto"/>
        <w:sz w:val="22"/>
        <w:szCs w:val="22"/>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3">
    <w:lvl w:ilvl="0">
      <w:start w:val="1"/>
      <w:numFmt w:val="decimal"/>
      <w:lvlText w:val="%1."/>
      <w:lvlJc w:val="start"/>
      <w:pPr>
        <w:tabs>
          <w:tab w:val="num" w:pos="0"/>
        </w:tabs>
        <w:ind w:start="720" w:hanging="360"/>
      </w:pPr>
      <w:rPr>
        <w:rFonts w:ascii="Times New Roman" w:hAnsi="Times New Roman" w:cs="Times New Roman"/>
      </w:rPr>
    </w:lvl>
    <w:lvl w:ilvl="1">
      <w:start w:val="1"/>
      <w:numFmt w:val="lowerLetter"/>
      <w:lvlText w:val="%1.%2."/>
      <w:lvlJc w:val="start"/>
      <w:pPr>
        <w:tabs>
          <w:tab w:val="num" w:pos="0"/>
        </w:tabs>
        <w:ind w:start="1080" w:hanging="360"/>
      </w:pPr>
      <w:rPr>
        <w:rFonts w:ascii="Times New Roman" w:hAnsi="Times New Roman" w:cs="Arial"/>
        <w:b w:val="false"/>
        <w:bCs/>
        <w:lang w:val="cs-CZ"/>
      </w:rPr>
    </w:lvl>
    <w:lvl w:ilvl="2">
      <w:start w:val="1"/>
      <w:numFmt w:val="lowerRoman"/>
      <w:lvlText w:val="%1.%2.%3."/>
      <w:lvlJc w:val="end"/>
      <w:pPr>
        <w:tabs>
          <w:tab w:val="num" w:pos="0"/>
        </w:tabs>
        <w:ind w:start="1440" w:hanging="360"/>
      </w:pPr>
      <w:rPr>
        <w:rFonts w:ascii="Times New Roman" w:hAnsi="Times New Roman" w:cs="Arial"/>
        <w:b w:val="false"/>
        <w:bCs/>
        <w:lang w:val="cs-CZ"/>
      </w:rPr>
    </w:lvl>
    <w:lvl w:ilvl="3">
      <w:start w:val="1"/>
      <w:numFmt w:val="decimal"/>
      <w:lvlText w:val="%1.%2.%3.%4."/>
      <w:lvlJc w:val="start"/>
      <w:pPr>
        <w:tabs>
          <w:tab w:val="num" w:pos="0"/>
        </w:tabs>
        <w:ind w:start="1800" w:hanging="360"/>
      </w:pPr>
      <w:rPr>
        <w:rFonts w:ascii="Times New Roman" w:hAnsi="Times New Roman" w:cs="Arial"/>
        <w:b w:val="false"/>
        <w:bCs/>
        <w:lang w:val="cs-CZ"/>
      </w:rPr>
    </w:lvl>
    <w:lvl w:ilvl="4">
      <w:start w:val="1"/>
      <w:numFmt w:val="lowerLetter"/>
      <w:lvlText w:val="%1.%2.%3.%4.%5."/>
      <w:lvlJc w:val="start"/>
      <w:pPr>
        <w:tabs>
          <w:tab w:val="num" w:pos="0"/>
        </w:tabs>
        <w:ind w:start="2160" w:hanging="360"/>
      </w:pPr>
      <w:rPr>
        <w:rFonts w:ascii="Times New Roman" w:hAnsi="Times New Roman" w:cs="Arial"/>
        <w:b w:val="false"/>
        <w:bCs/>
        <w:lang w:val="cs-CZ"/>
      </w:rPr>
    </w:lvl>
    <w:lvl w:ilvl="5">
      <w:start w:val="1"/>
      <w:numFmt w:val="lowerRoman"/>
      <w:lvlText w:val="%1.%2.%3.%4.%5.%6."/>
      <w:lvlJc w:val="end"/>
      <w:pPr>
        <w:tabs>
          <w:tab w:val="num" w:pos="0"/>
        </w:tabs>
        <w:ind w:start="2520" w:hanging="360"/>
      </w:pPr>
      <w:rPr>
        <w:rFonts w:ascii="Times New Roman" w:hAnsi="Times New Roman" w:cs="Arial"/>
        <w:b w:val="false"/>
        <w:bCs/>
        <w:lang w:val="cs-CZ"/>
      </w:rPr>
    </w:lvl>
    <w:lvl w:ilvl="6">
      <w:start w:val="1"/>
      <w:numFmt w:val="decimal"/>
      <w:lvlText w:val="%1.%2.%3.%4.%5.%6.%7."/>
      <w:lvlJc w:val="start"/>
      <w:pPr>
        <w:tabs>
          <w:tab w:val="num" w:pos="0"/>
        </w:tabs>
        <w:ind w:start="2880" w:hanging="360"/>
      </w:pPr>
      <w:rPr>
        <w:rFonts w:ascii="Times New Roman" w:hAnsi="Times New Roman" w:cs="Arial"/>
        <w:b w:val="false"/>
        <w:bCs/>
        <w:lang w:val="cs-CZ"/>
      </w:rPr>
    </w:lvl>
    <w:lvl w:ilvl="7">
      <w:start w:val="1"/>
      <w:numFmt w:val="lowerLetter"/>
      <w:lvlText w:val="%1.%2.%3.%4.%5.%6.%7.%8."/>
      <w:lvlJc w:val="start"/>
      <w:pPr>
        <w:tabs>
          <w:tab w:val="num" w:pos="0"/>
        </w:tabs>
        <w:ind w:start="3240" w:hanging="360"/>
      </w:pPr>
      <w:rPr>
        <w:rFonts w:ascii="Times New Roman" w:hAnsi="Times New Roman" w:cs="Arial"/>
        <w:b w:val="false"/>
        <w:bCs/>
        <w:lang w:val="cs-CZ"/>
      </w:rPr>
    </w:lvl>
    <w:lvl w:ilvl="8">
      <w:start w:val="1"/>
      <w:numFmt w:val="lowerRoman"/>
      <w:lvlText w:val="%1.%2.%3.%4.%5.%6.%7.%8.%9."/>
      <w:lvlJc w:val="end"/>
      <w:pPr>
        <w:tabs>
          <w:tab w:val="num" w:pos="0"/>
        </w:tabs>
        <w:ind w:start="3600" w:hanging="360"/>
      </w:pPr>
      <w:rPr>
        <w:rFonts w:ascii="Times New Roman" w:hAnsi="Times New Roman" w:cs="Arial"/>
        <w:b w:val="false"/>
        <w:bCs/>
        <w:lang w:val="cs-CZ"/>
      </w:rPr>
    </w:lvl>
  </w:abstractNum>
  <w:abstractNum w:abstractNumId="24">
    <w:lvl w:ilvl="0">
      <w:start w:val="1"/>
      <w:numFmt w:val="decimal"/>
      <w:lvlText w:val="%1)"/>
      <w:lvlJc w:val="start"/>
      <w:pPr>
        <w:tabs>
          <w:tab w:val="num" w:pos="0"/>
        </w:tabs>
        <w:ind w:start="720" w:hanging="360"/>
      </w:pPr>
      <w:rPr>
        <w:rFonts w:ascii="Times New Roman" w:hAnsi="Times New Roman" w:cs="Times New Roman"/>
      </w:rPr>
    </w:lvl>
    <w:lvl w:ilvl="1">
      <w:start w:val="1"/>
      <w:numFmt w:val="lowerLetter"/>
      <w:lvlText w:val="%1.%2."/>
      <w:lvlJc w:val="start"/>
      <w:pPr>
        <w:tabs>
          <w:tab w:val="num" w:pos="0"/>
        </w:tabs>
        <w:ind w:start="1080" w:hanging="360"/>
      </w:pPr>
      <w:rPr>
        <w:rFonts w:ascii="Times New Roman" w:hAnsi="Times New Roman" w:cs="Times New Roman"/>
      </w:rPr>
    </w:lvl>
    <w:lvl w:ilvl="2">
      <w:start w:val="1"/>
      <w:numFmt w:val="lowerLetter"/>
      <w:lvlText w:val="%1.%2.%3."/>
      <w:lvlJc w:val="start"/>
      <w:pPr>
        <w:tabs>
          <w:tab w:val="num" w:pos="0"/>
        </w:tabs>
        <w:ind w:start="1440" w:hanging="360"/>
      </w:pPr>
      <w:rPr>
        <w:rFonts w:ascii="Times New Roman" w:hAnsi="Times New Roman" w:cs="Times New Roman"/>
      </w:rPr>
    </w:lvl>
    <w:lvl w:ilvl="3">
      <w:start w:val="1"/>
      <w:numFmt w:val="lowerLetter"/>
      <w:lvlText w:val="%1.%2.%3.%4."/>
      <w:lvlJc w:val="start"/>
      <w:pPr>
        <w:tabs>
          <w:tab w:val="num" w:pos="0"/>
        </w:tabs>
        <w:ind w:start="1800" w:hanging="360"/>
      </w:pPr>
      <w:rPr>
        <w:rFonts w:ascii="Times New Roman" w:hAnsi="Times New Roman" w:cs="Times New Roman"/>
      </w:rPr>
    </w:lvl>
    <w:lvl w:ilvl="4">
      <w:start w:val="1"/>
      <w:numFmt w:val="lowerLetter"/>
      <w:lvlText w:val="%1.%2.%3.%4.%5."/>
      <w:lvlJc w:val="start"/>
      <w:pPr>
        <w:tabs>
          <w:tab w:val="num" w:pos="0"/>
        </w:tabs>
        <w:ind w:start="2160" w:hanging="360"/>
      </w:pPr>
      <w:rPr>
        <w:rFonts w:ascii="Times New Roman" w:hAnsi="Times New Roman" w:cs="Times New Roman"/>
      </w:rPr>
    </w:lvl>
    <w:lvl w:ilvl="5">
      <w:start w:val="1"/>
      <w:numFmt w:val="lowerLetter"/>
      <w:lvlText w:val="%1.%2.%3.%4.%5.%6."/>
      <w:lvlJc w:val="start"/>
      <w:pPr>
        <w:tabs>
          <w:tab w:val="num" w:pos="0"/>
        </w:tabs>
        <w:ind w:start="2520" w:hanging="360"/>
      </w:pPr>
      <w:rPr>
        <w:rFonts w:ascii="Times New Roman" w:hAnsi="Times New Roman" w:cs="Times New Roman"/>
      </w:rPr>
    </w:lvl>
    <w:lvl w:ilvl="6">
      <w:start w:val="1"/>
      <w:numFmt w:val="lowerLetter"/>
      <w:lvlText w:val="%1.%2.%3.%4.%5.%6.%7."/>
      <w:lvlJc w:val="start"/>
      <w:pPr>
        <w:tabs>
          <w:tab w:val="num" w:pos="0"/>
        </w:tabs>
        <w:ind w:start="2880" w:hanging="360"/>
      </w:pPr>
      <w:rPr>
        <w:rFonts w:ascii="Times New Roman" w:hAnsi="Times New Roman" w:cs="Times New Roman"/>
      </w:rPr>
    </w:lvl>
    <w:lvl w:ilvl="7">
      <w:start w:val="1"/>
      <w:numFmt w:val="lowerLetter"/>
      <w:lvlText w:val="%1.%2.%3.%4.%5.%6.%7.%8."/>
      <w:lvlJc w:val="start"/>
      <w:pPr>
        <w:tabs>
          <w:tab w:val="num" w:pos="0"/>
        </w:tabs>
        <w:ind w:start="3240" w:hanging="360"/>
      </w:pPr>
      <w:rPr>
        <w:rFonts w:ascii="Times New Roman" w:hAnsi="Times New Roman" w:cs="Times New Roman"/>
      </w:rPr>
    </w:lvl>
    <w:lvl w:ilvl="8">
      <w:start w:val="1"/>
      <w:numFmt w:val="lowerLetter"/>
      <w:lvlText w:val="%1.%2.%3.%4.%5.%6.%7.%8.%9."/>
      <w:lvlJc w:val="start"/>
      <w:pPr>
        <w:tabs>
          <w:tab w:val="num" w:pos="0"/>
        </w:tabs>
        <w:ind w:start="3600" w:hanging="360"/>
      </w:pPr>
      <w:rPr>
        <w:rFonts w:ascii="Times New Roman" w:hAnsi="Times New Roman" w:cs="Times New Roman"/>
      </w:rPr>
    </w:lvl>
  </w:abstractNum>
  <w:abstractNum w:abstractNumId="25">
    <w:lvl w:ilvl="0">
      <w:start w:val="1"/>
      <w:numFmt w:val="lowerLetter"/>
      <w:lvlText w:val="%1)"/>
      <w:lvlJc w:val="start"/>
      <w:pPr>
        <w:tabs>
          <w:tab w:val="num" w:pos="0"/>
        </w:tabs>
        <w:ind w:start="720" w:hanging="360"/>
      </w:pPr>
      <w:rPr>
        <w:rFonts w:ascii="Times New Roman" w:hAnsi="Times New Roman" w:cs="Times New Roman"/>
      </w:rPr>
    </w:lvl>
    <w:lvl w:ilvl="1">
      <w:start w:val="1"/>
      <w:numFmt w:val="lowerLetter"/>
      <w:lvlText w:val="%1.%2."/>
      <w:lvlJc w:val="start"/>
      <w:pPr>
        <w:tabs>
          <w:tab w:val="num" w:pos="0"/>
        </w:tabs>
        <w:ind w:start="1080" w:hanging="360"/>
      </w:pPr>
      <w:rPr>
        <w:rFonts w:ascii="Times New Roman" w:hAnsi="Times New Roman" w:cs="Times New Roman"/>
      </w:rPr>
    </w:lvl>
    <w:lvl w:ilvl="2">
      <w:start w:val="1"/>
      <w:numFmt w:val="lowerLetter"/>
      <w:lvlText w:val="%1.%2.%3."/>
      <w:lvlJc w:val="start"/>
      <w:pPr>
        <w:tabs>
          <w:tab w:val="num" w:pos="0"/>
        </w:tabs>
        <w:ind w:start="1440" w:hanging="360"/>
      </w:pPr>
      <w:rPr>
        <w:rFonts w:ascii="Times New Roman" w:hAnsi="Times New Roman" w:cs="Times New Roman"/>
      </w:rPr>
    </w:lvl>
    <w:lvl w:ilvl="3">
      <w:start w:val="1"/>
      <w:numFmt w:val="lowerLetter"/>
      <w:lvlText w:val="%1.%2.%3.%4."/>
      <w:lvlJc w:val="start"/>
      <w:pPr>
        <w:tabs>
          <w:tab w:val="num" w:pos="0"/>
        </w:tabs>
        <w:ind w:start="1800" w:hanging="360"/>
      </w:pPr>
      <w:rPr>
        <w:rFonts w:ascii="Times New Roman" w:hAnsi="Times New Roman" w:cs="Times New Roman"/>
      </w:rPr>
    </w:lvl>
    <w:lvl w:ilvl="4">
      <w:start w:val="1"/>
      <w:numFmt w:val="lowerLetter"/>
      <w:lvlText w:val="%1.%2.%3.%4.%5."/>
      <w:lvlJc w:val="start"/>
      <w:pPr>
        <w:tabs>
          <w:tab w:val="num" w:pos="0"/>
        </w:tabs>
        <w:ind w:start="2160" w:hanging="360"/>
      </w:pPr>
      <w:rPr>
        <w:rFonts w:ascii="Times New Roman" w:hAnsi="Times New Roman" w:cs="Times New Roman"/>
      </w:rPr>
    </w:lvl>
    <w:lvl w:ilvl="5">
      <w:start w:val="1"/>
      <w:numFmt w:val="lowerLetter"/>
      <w:lvlText w:val="%1.%2.%3.%4.%5.%6."/>
      <w:lvlJc w:val="start"/>
      <w:pPr>
        <w:tabs>
          <w:tab w:val="num" w:pos="0"/>
        </w:tabs>
        <w:ind w:start="2520" w:hanging="360"/>
      </w:pPr>
      <w:rPr>
        <w:rFonts w:ascii="Times New Roman" w:hAnsi="Times New Roman" w:cs="Times New Roman"/>
      </w:rPr>
    </w:lvl>
    <w:lvl w:ilvl="6">
      <w:start w:val="1"/>
      <w:numFmt w:val="lowerLetter"/>
      <w:lvlText w:val="%1.%2.%3.%4.%5.%6.%7."/>
      <w:lvlJc w:val="start"/>
      <w:pPr>
        <w:tabs>
          <w:tab w:val="num" w:pos="0"/>
        </w:tabs>
        <w:ind w:start="2880" w:hanging="360"/>
      </w:pPr>
      <w:rPr>
        <w:rFonts w:ascii="Times New Roman" w:hAnsi="Times New Roman" w:cs="Times New Roman"/>
      </w:rPr>
    </w:lvl>
    <w:lvl w:ilvl="7">
      <w:start w:val="1"/>
      <w:numFmt w:val="lowerLetter"/>
      <w:lvlText w:val="%1.%2.%3.%4.%5.%6.%7.%8."/>
      <w:lvlJc w:val="start"/>
      <w:pPr>
        <w:tabs>
          <w:tab w:val="num" w:pos="0"/>
        </w:tabs>
        <w:ind w:start="3240" w:hanging="360"/>
      </w:pPr>
      <w:rPr>
        <w:rFonts w:ascii="Times New Roman" w:hAnsi="Times New Roman" w:cs="Times New Roman"/>
      </w:rPr>
    </w:lvl>
    <w:lvl w:ilvl="8">
      <w:start w:val="1"/>
      <w:numFmt w:val="lowerLetter"/>
      <w:lvlText w:val="%1.%2.%3.%4.%5.%6.%7.%8.%9."/>
      <w:lvlJc w:val="start"/>
      <w:pPr>
        <w:tabs>
          <w:tab w:val="num" w:pos="0"/>
        </w:tabs>
        <w:ind w:start="3600" w:hanging="360"/>
      </w:pPr>
      <w:rPr>
        <w:rFonts w:ascii="Times New Roman" w:hAnsi="Times New Roman" w:cs="Times New Roman"/>
      </w:rPr>
    </w:lvl>
  </w:abstractNum>
  <w:abstractNum w:abstractNumId="26">
    <w:lvl w:ilvl="0">
      <w:start w:val="1"/>
      <w:numFmt w:val="lowerLetter"/>
      <w:lvlText w:val="%1)"/>
      <w:lvlJc w:val="start"/>
      <w:pPr>
        <w:tabs>
          <w:tab w:val="num" w:pos="0"/>
        </w:tabs>
        <w:ind w:start="2629" w:hanging="360"/>
      </w:pPr>
      <w:rPr>
        <w:rFonts w:ascii="Times New Roman" w:hAnsi="Times New Roman" w:cs="Times New Roman"/>
      </w:rPr>
    </w:lvl>
    <w:lvl w:ilvl="1">
      <w:start w:val="1"/>
      <w:numFmt w:val="lowerLetter"/>
      <w:lvlText w:val="%1.%2."/>
      <w:lvlJc w:val="start"/>
      <w:pPr>
        <w:tabs>
          <w:tab w:val="num" w:pos="0"/>
        </w:tabs>
        <w:ind w:start="1080" w:hanging="360"/>
      </w:pPr>
      <w:rPr>
        <w:rFonts w:ascii="Times New Roman" w:hAnsi="Times New Roman" w:cs="Times New Roman"/>
      </w:rPr>
    </w:lvl>
    <w:lvl w:ilvl="2">
      <w:start w:val="1"/>
      <w:numFmt w:val="lowerLetter"/>
      <w:lvlText w:val="%1.%2.%3."/>
      <w:lvlJc w:val="start"/>
      <w:pPr>
        <w:tabs>
          <w:tab w:val="num" w:pos="0"/>
        </w:tabs>
        <w:ind w:start="1440" w:hanging="360"/>
      </w:pPr>
      <w:rPr>
        <w:rFonts w:ascii="Times New Roman" w:hAnsi="Times New Roman" w:cs="Times New Roman"/>
      </w:rPr>
    </w:lvl>
    <w:lvl w:ilvl="3">
      <w:start w:val="1"/>
      <w:numFmt w:val="lowerLetter"/>
      <w:lvlText w:val="%1.%2.%3.%4."/>
      <w:lvlJc w:val="start"/>
      <w:pPr>
        <w:tabs>
          <w:tab w:val="num" w:pos="0"/>
        </w:tabs>
        <w:ind w:start="1800" w:hanging="360"/>
      </w:pPr>
      <w:rPr>
        <w:rFonts w:ascii="Times New Roman" w:hAnsi="Times New Roman" w:cs="Times New Roman"/>
      </w:rPr>
    </w:lvl>
    <w:lvl w:ilvl="4">
      <w:start w:val="1"/>
      <w:numFmt w:val="lowerLetter"/>
      <w:lvlText w:val="%1.%2.%3.%4.%5."/>
      <w:lvlJc w:val="start"/>
      <w:pPr>
        <w:tabs>
          <w:tab w:val="num" w:pos="0"/>
        </w:tabs>
        <w:ind w:start="2160" w:hanging="360"/>
      </w:pPr>
      <w:rPr>
        <w:rFonts w:ascii="Times New Roman" w:hAnsi="Times New Roman" w:cs="Times New Roman"/>
      </w:rPr>
    </w:lvl>
    <w:lvl w:ilvl="5">
      <w:start w:val="1"/>
      <w:numFmt w:val="lowerLetter"/>
      <w:lvlText w:val="%1.%2.%3.%4.%5.%6."/>
      <w:lvlJc w:val="start"/>
      <w:pPr>
        <w:tabs>
          <w:tab w:val="num" w:pos="0"/>
        </w:tabs>
        <w:ind w:start="2520" w:hanging="360"/>
      </w:pPr>
      <w:rPr>
        <w:rFonts w:ascii="Times New Roman" w:hAnsi="Times New Roman" w:cs="Times New Roman"/>
      </w:rPr>
    </w:lvl>
    <w:lvl w:ilvl="6">
      <w:start w:val="1"/>
      <w:numFmt w:val="lowerLetter"/>
      <w:lvlText w:val="%1.%2.%3.%4.%5.%6.%7."/>
      <w:lvlJc w:val="start"/>
      <w:pPr>
        <w:tabs>
          <w:tab w:val="num" w:pos="0"/>
        </w:tabs>
        <w:ind w:start="2880" w:hanging="360"/>
      </w:pPr>
      <w:rPr>
        <w:rFonts w:ascii="Times New Roman" w:hAnsi="Times New Roman" w:cs="Times New Roman"/>
      </w:rPr>
    </w:lvl>
    <w:lvl w:ilvl="7">
      <w:start w:val="1"/>
      <w:numFmt w:val="lowerLetter"/>
      <w:lvlText w:val="%1.%2.%3.%4.%5.%6.%7.%8."/>
      <w:lvlJc w:val="start"/>
      <w:pPr>
        <w:tabs>
          <w:tab w:val="num" w:pos="0"/>
        </w:tabs>
        <w:ind w:start="3240" w:hanging="360"/>
      </w:pPr>
      <w:rPr>
        <w:rFonts w:ascii="Times New Roman" w:hAnsi="Times New Roman" w:cs="Times New Roman"/>
      </w:rPr>
    </w:lvl>
    <w:lvl w:ilvl="8">
      <w:start w:val="1"/>
      <w:numFmt w:val="lowerLetter"/>
      <w:lvlText w:val="%1.%2.%3.%4.%5.%6.%7.%8.%9."/>
      <w:lvlJc w:val="start"/>
      <w:pPr>
        <w:tabs>
          <w:tab w:val="num" w:pos="0"/>
        </w:tabs>
        <w:ind w:start="3600" w:hanging="360"/>
      </w:pPr>
      <w:rPr>
        <w:rFonts w:ascii="Times New Roman" w:hAnsi="Times New Roman" w:cs="Times New Roman"/>
      </w:rPr>
    </w:lvl>
  </w:abstractNum>
  <w:abstractNum w:abstractNumId="27">
    <w:lvl w:ilvl="0">
      <w:start w:val="1"/>
      <w:numFmt w:val="decimal"/>
      <w:lvlText w:val="%1."/>
      <w:lvlJc w:val="start"/>
      <w:pPr>
        <w:tabs>
          <w:tab w:val="num" w:pos="0"/>
        </w:tabs>
        <w:ind w:start="720" w:hanging="360"/>
      </w:pPr>
      <w:rPr>
        <w:rFonts w:ascii="Times New Roman" w:hAnsi="Times New Roman" w:cs="Times New Roman"/>
      </w:rPr>
    </w:lvl>
    <w:lvl w:ilvl="1">
      <w:start w:val="1"/>
      <w:numFmt w:val="lowerLetter"/>
      <w:lvlText w:val="%1.%2."/>
      <w:lvlJc w:val="start"/>
      <w:pPr>
        <w:tabs>
          <w:tab w:val="num" w:pos="0"/>
        </w:tabs>
        <w:ind w:start="1080" w:hanging="360"/>
      </w:pPr>
      <w:rPr>
        <w:rFonts w:ascii="Times New Roman" w:hAnsi="Times New Roman" w:cs="Arial"/>
        <w:b w:val="false"/>
        <w:bCs/>
        <w:lang w:val="cs-CZ"/>
      </w:rPr>
    </w:lvl>
    <w:lvl w:ilvl="2">
      <w:start w:val="1"/>
      <w:numFmt w:val="lowerRoman"/>
      <w:lvlText w:val="%1.%2.%3."/>
      <w:lvlJc w:val="end"/>
      <w:pPr>
        <w:tabs>
          <w:tab w:val="num" w:pos="0"/>
        </w:tabs>
        <w:ind w:start="1440" w:hanging="360"/>
      </w:pPr>
      <w:rPr>
        <w:rFonts w:ascii="Times New Roman" w:hAnsi="Times New Roman" w:cs="Arial"/>
        <w:b w:val="false"/>
        <w:bCs/>
        <w:lang w:val="cs-CZ"/>
      </w:rPr>
    </w:lvl>
    <w:lvl w:ilvl="3">
      <w:start w:val="1"/>
      <w:numFmt w:val="decimal"/>
      <w:lvlText w:val="%1.%2.%3.%4."/>
      <w:lvlJc w:val="start"/>
      <w:pPr>
        <w:tabs>
          <w:tab w:val="num" w:pos="0"/>
        </w:tabs>
        <w:ind w:start="1800" w:hanging="360"/>
      </w:pPr>
      <w:rPr>
        <w:rFonts w:ascii="Times New Roman" w:hAnsi="Times New Roman" w:cs="Arial"/>
        <w:b w:val="false"/>
        <w:bCs/>
        <w:lang w:val="cs-CZ"/>
      </w:rPr>
    </w:lvl>
    <w:lvl w:ilvl="4">
      <w:start w:val="1"/>
      <w:numFmt w:val="lowerLetter"/>
      <w:lvlText w:val="%1.%2.%3.%4.%5."/>
      <w:lvlJc w:val="start"/>
      <w:pPr>
        <w:tabs>
          <w:tab w:val="num" w:pos="0"/>
        </w:tabs>
        <w:ind w:start="2160" w:hanging="360"/>
      </w:pPr>
      <w:rPr>
        <w:rFonts w:ascii="Times New Roman" w:hAnsi="Times New Roman" w:cs="Arial"/>
        <w:b w:val="false"/>
        <w:bCs/>
        <w:lang w:val="cs-CZ"/>
      </w:rPr>
    </w:lvl>
    <w:lvl w:ilvl="5">
      <w:start w:val="1"/>
      <w:numFmt w:val="lowerRoman"/>
      <w:lvlText w:val="%1.%2.%3.%4.%5.%6."/>
      <w:lvlJc w:val="end"/>
      <w:pPr>
        <w:tabs>
          <w:tab w:val="num" w:pos="0"/>
        </w:tabs>
        <w:ind w:start="2520" w:hanging="360"/>
      </w:pPr>
      <w:rPr>
        <w:rFonts w:ascii="Times New Roman" w:hAnsi="Times New Roman" w:cs="Arial"/>
        <w:b w:val="false"/>
        <w:bCs/>
        <w:lang w:val="cs-CZ"/>
      </w:rPr>
    </w:lvl>
    <w:lvl w:ilvl="6">
      <w:start w:val="1"/>
      <w:numFmt w:val="decimal"/>
      <w:lvlText w:val="%1.%2.%3.%4.%5.%6.%7."/>
      <w:lvlJc w:val="start"/>
      <w:pPr>
        <w:tabs>
          <w:tab w:val="num" w:pos="0"/>
        </w:tabs>
        <w:ind w:start="2880" w:hanging="360"/>
      </w:pPr>
      <w:rPr>
        <w:rFonts w:ascii="Times New Roman" w:hAnsi="Times New Roman" w:cs="Arial"/>
        <w:b w:val="false"/>
        <w:bCs/>
        <w:lang w:val="cs-CZ"/>
      </w:rPr>
    </w:lvl>
    <w:lvl w:ilvl="7">
      <w:start w:val="1"/>
      <w:numFmt w:val="lowerLetter"/>
      <w:lvlText w:val="%1.%2.%3.%4.%5.%6.%7.%8."/>
      <w:lvlJc w:val="start"/>
      <w:pPr>
        <w:tabs>
          <w:tab w:val="num" w:pos="0"/>
        </w:tabs>
        <w:ind w:start="3240" w:hanging="360"/>
      </w:pPr>
      <w:rPr>
        <w:rFonts w:ascii="Times New Roman" w:hAnsi="Times New Roman" w:cs="Arial"/>
        <w:b w:val="false"/>
        <w:bCs/>
        <w:lang w:val="cs-CZ"/>
      </w:rPr>
    </w:lvl>
    <w:lvl w:ilvl="8">
      <w:start w:val="1"/>
      <w:numFmt w:val="lowerRoman"/>
      <w:lvlText w:val="%1.%2.%3.%4.%5.%6.%7.%8.%9."/>
      <w:lvlJc w:val="end"/>
      <w:pPr>
        <w:tabs>
          <w:tab w:val="num" w:pos="0"/>
        </w:tabs>
        <w:ind w:start="3600" w:hanging="360"/>
      </w:pPr>
      <w:rPr>
        <w:rFonts w:ascii="Times New Roman" w:hAnsi="Times New Roman" w:cs="Arial"/>
        <w:b w:val="false"/>
        <w:bCs/>
        <w:lang w:val="cs-CZ"/>
      </w:rPr>
    </w:lvl>
  </w:abstractNum>
  <w:abstractNum w:abstractNumId="28">
    <w:lvl w:ilvl="0">
      <w:start w:val="1"/>
      <w:numFmt w:val="decimal"/>
      <w:lvlText w:val="%1)"/>
      <w:lvlJc w:val="start"/>
      <w:pPr>
        <w:tabs>
          <w:tab w:val="num" w:pos="0"/>
        </w:tabs>
        <w:ind w:start="720" w:hanging="360"/>
      </w:pPr>
      <w:rPr>
        <w:rFonts w:ascii="Times New Roman" w:hAnsi="Times New Roman" w:cs="Times New Roman"/>
      </w:rPr>
    </w:lvl>
    <w:lvl w:ilvl="1">
      <w:start w:val="1"/>
      <w:numFmt w:val="lowerLetter"/>
      <w:lvlText w:val="%1.%2."/>
      <w:lvlJc w:val="start"/>
      <w:pPr>
        <w:tabs>
          <w:tab w:val="num" w:pos="0"/>
        </w:tabs>
        <w:ind w:start="1080" w:hanging="360"/>
      </w:pPr>
      <w:rPr>
        <w:rFonts w:ascii="Times New Roman" w:hAnsi="Times New Roman" w:cs="Times New Roman"/>
      </w:rPr>
    </w:lvl>
    <w:lvl w:ilvl="2">
      <w:start w:val="1"/>
      <w:numFmt w:val="lowerLetter"/>
      <w:lvlText w:val="%1.%2.%3."/>
      <w:lvlJc w:val="start"/>
      <w:pPr>
        <w:tabs>
          <w:tab w:val="num" w:pos="0"/>
        </w:tabs>
        <w:ind w:start="1440" w:hanging="360"/>
      </w:pPr>
      <w:rPr>
        <w:rFonts w:ascii="Times New Roman" w:hAnsi="Times New Roman" w:cs="Times New Roman"/>
      </w:rPr>
    </w:lvl>
    <w:lvl w:ilvl="3">
      <w:start w:val="1"/>
      <w:numFmt w:val="lowerLetter"/>
      <w:lvlText w:val="%1.%2.%3.%4."/>
      <w:lvlJc w:val="start"/>
      <w:pPr>
        <w:tabs>
          <w:tab w:val="num" w:pos="0"/>
        </w:tabs>
        <w:ind w:start="1800" w:hanging="360"/>
      </w:pPr>
      <w:rPr>
        <w:rFonts w:ascii="Times New Roman" w:hAnsi="Times New Roman" w:cs="Times New Roman"/>
      </w:rPr>
    </w:lvl>
    <w:lvl w:ilvl="4">
      <w:start w:val="1"/>
      <w:numFmt w:val="lowerLetter"/>
      <w:lvlText w:val="%1.%2.%3.%4.%5."/>
      <w:lvlJc w:val="start"/>
      <w:pPr>
        <w:tabs>
          <w:tab w:val="num" w:pos="0"/>
        </w:tabs>
        <w:ind w:start="2160" w:hanging="360"/>
      </w:pPr>
      <w:rPr>
        <w:rFonts w:ascii="Times New Roman" w:hAnsi="Times New Roman" w:cs="Times New Roman"/>
      </w:rPr>
    </w:lvl>
    <w:lvl w:ilvl="5">
      <w:start w:val="1"/>
      <w:numFmt w:val="lowerLetter"/>
      <w:lvlText w:val="%1.%2.%3.%4.%5.%6."/>
      <w:lvlJc w:val="start"/>
      <w:pPr>
        <w:tabs>
          <w:tab w:val="num" w:pos="0"/>
        </w:tabs>
        <w:ind w:start="2520" w:hanging="360"/>
      </w:pPr>
      <w:rPr>
        <w:rFonts w:ascii="Times New Roman" w:hAnsi="Times New Roman" w:cs="Times New Roman"/>
      </w:rPr>
    </w:lvl>
    <w:lvl w:ilvl="6">
      <w:start w:val="1"/>
      <w:numFmt w:val="lowerLetter"/>
      <w:lvlText w:val="%1.%2.%3.%4.%5.%6.%7."/>
      <w:lvlJc w:val="start"/>
      <w:pPr>
        <w:tabs>
          <w:tab w:val="num" w:pos="0"/>
        </w:tabs>
        <w:ind w:start="2880" w:hanging="360"/>
      </w:pPr>
      <w:rPr>
        <w:rFonts w:ascii="Times New Roman" w:hAnsi="Times New Roman" w:cs="Times New Roman"/>
      </w:rPr>
    </w:lvl>
    <w:lvl w:ilvl="7">
      <w:start w:val="1"/>
      <w:numFmt w:val="lowerLetter"/>
      <w:lvlText w:val="%1.%2.%3.%4.%5.%6.%7.%8."/>
      <w:lvlJc w:val="start"/>
      <w:pPr>
        <w:tabs>
          <w:tab w:val="num" w:pos="0"/>
        </w:tabs>
        <w:ind w:start="3240" w:hanging="360"/>
      </w:pPr>
      <w:rPr>
        <w:rFonts w:ascii="Times New Roman" w:hAnsi="Times New Roman" w:cs="Times New Roman"/>
      </w:rPr>
    </w:lvl>
    <w:lvl w:ilvl="8">
      <w:start w:val="1"/>
      <w:numFmt w:val="lowerLetter"/>
      <w:lvlText w:val="%1.%2.%3.%4.%5.%6.%7.%8.%9."/>
      <w:lvlJc w:val="start"/>
      <w:pPr>
        <w:tabs>
          <w:tab w:val="num" w:pos="0"/>
        </w:tabs>
        <w:ind w:start="3600" w:hanging="360"/>
      </w:pPr>
      <w:rPr>
        <w:rFonts w:ascii="Times New Roman" w:hAnsi="Times New Roman" w:cs="Times New Roman"/>
      </w:rPr>
    </w:lvl>
  </w:abstractNum>
  <w:abstractNum w:abstractNumId="29">
    <w:lvl w:ilvl="0">
      <w:start w:val="1"/>
      <w:numFmt w:val="lowerLetter"/>
      <w:lvlText w:val="%1)"/>
      <w:lvlJc w:val="start"/>
      <w:pPr>
        <w:tabs>
          <w:tab w:val="num" w:pos="0"/>
        </w:tabs>
        <w:ind w:start="720" w:hanging="360"/>
      </w:pPr>
      <w:rPr>
        <w:rFonts w:ascii="Times New Roman" w:hAnsi="Times New Roman" w:cs="Times New Roman"/>
      </w:rPr>
    </w:lvl>
    <w:lvl w:ilvl="1">
      <w:start w:val="1"/>
      <w:numFmt w:val="lowerLetter"/>
      <w:lvlText w:val="%1.%2."/>
      <w:lvlJc w:val="start"/>
      <w:pPr>
        <w:tabs>
          <w:tab w:val="num" w:pos="0"/>
        </w:tabs>
        <w:ind w:start="1080" w:hanging="360"/>
      </w:pPr>
      <w:rPr>
        <w:rFonts w:ascii="Times New Roman" w:hAnsi="Times New Roman" w:cs="Times New Roman"/>
      </w:rPr>
    </w:lvl>
    <w:lvl w:ilvl="2">
      <w:start w:val="1"/>
      <w:numFmt w:val="lowerLetter"/>
      <w:lvlText w:val="%1.%2.%3."/>
      <w:lvlJc w:val="start"/>
      <w:pPr>
        <w:tabs>
          <w:tab w:val="num" w:pos="0"/>
        </w:tabs>
        <w:ind w:start="1440" w:hanging="360"/>
      </w:pPr>
      <w:rPr>
        <w:rFonts w:ascii="Times New Roman" w:hAnsi="Times New Roman" w:cs="Times New Roman"/>
      </w:rPr>
    </w:lvl>
    <w:lvl w:ilvl="3">
      <w:start w:val="1"/>
      <w:numFmt w:val="lowerLetter"/>
      <w:lvlText w:val="%1.%2.%3.%4."/>
      <w:lvlJc w:val="start"/>
      <w:pPr>
        <w:tabs>
          <w:tab w:val="num" w:pos="0"/>
        </w:tabs>
        <w:ind w:start="1800" w:hanging="360"/>
      </w:pPr>
      <w:rPr>
        <w:rFonts w:ascii="Times New Roman" w:hAnsi="Times New Roman" w:cs="Times New Roman"/>
      </w:rPr>
    </w:lvl>
    <w:lvl w:ilvl="4">
      <w:start w:val="1"/>
      <w:numFmt w:val="lowerLetter"/>
      <w:lvlText w:val="%1.%2.%3.%4.%5."/>
      <w:lvlJc w:val="start"/>
      <w:pPr>
        <w:tabs>
          <w:tab w:val="num" w:pos="0"/>
        </w:tabs>
        <w:ind w:start="2160" w:hanging="360"/>
      </w:pPr>
      <w:rPr>
        <w:rFonts w:ascii="Times New Roman" w:hAnsi="Times New Roman" w:cs="Times New Roman"/>
      </w:rPr>
    </w:lvl>
    <w:lvl w:ilvl="5">
      <w:start w:val="1"/>
      <w:numFmt w:val="lowerLetter"/>
      <w:lvlText w:val="%1.%2.%3.%4.%5.%6."/>
      <w:lvlJc w:val="start"/>
      <w:pPr>
        <w:tabs>
          <w:tab w:val="num" w:pos="0"/>
        </w:tabs>
        <w:ind w:start="2520" w:hanging="360"/>
      </w:pPr>
      <w:rPr>
        <w:rFonts w:ascii="Times New Roman" w:hAnsi="Times New Roman" w:cs="Times New Roman"/>
      </w:rPr>
    </w:lvl>
    <w:lvl w:ilvl="6">
      <w:start w:val="1"/>
      <w:numFmt w:val="lowerLetter"/>
      <w:lvlText w:val="%1.%2.%3.%4.%5.%6.%7."/>
      <w:lvlJc w:val="start"/>
      <w:pPr>
        <w:tabs>
          <w:tab w:val="num" w:pos="0"/>
        </w:tabs>
        <w:ind w:start="2880" w:hanging="360"/>
      </w:pPr>
      <w:rPr>
        <w:rFonts w:ascii="Times New Roman" w:hAnsi="Times New Roman" w:cs="Times New Roman"/>
      </w:rPr>
    </w:lvl>
    <w:lvl w:ilvl="7">
      <w:start w:val="1"/>
      <w:numFmt w:val="lowerLetter"/>
      <w:lvlText w:val="%1.%2.%3.%4.%5.%6.%7.%8."/>
      <w:lvlJc w:val="start"/>
      <w:pPr>
        <w:tabs>
          <w:tab w:val="num" w:pos="0"/>
        </w:tabs>
        <w:ind w:start="3240" w:hanging="360"/>
      </w:pPr>
      <w:rPr>
        <w:rFonts w:ascii="Times New Roman" w:hAnsi="Times New Roman" w:cs="Times New Roman"/>
      </w:rPr>
    </w:lvl>
    <w:lvl w:ilvl="8">
      <w:start w:val="1"/>
      <w:numFmt w:val="lowerLetter"/>
      <w:lvlText w:val="%1.%2.%3.%4.%5.%6.%7.%8.%9."/>
      <w:lvlJc w:val="start"/>
      <w:pPr>
        <w:tabs>
          <w:tab w:val="num" w:pos="0"/>
        </w:tabs>
        <w:ind w:start="3600" w:hanging="360"/>
      </w:pPr>
      <w:rPr>
        <w:rFonts w:ascii="Times New Roman" w:hAnsi="Times New Roman" w:cs="Times New Roman"/>
      </w:rPr>
    </w:lvl>
  </w:abstractNum>
  <w:abstractNum w:abstractNumId="30">
    <w:lvl w:ilvl="0">
      <w:start w:val="1"/>
      <w:numFmt w:val="decimal"/>
      <w:lvlText w:val="%1)"/>
      <w:lvlJc w:val="start"/>
      <w:pPr>
        <w:tabs>
          <w:tab w:val="num" w:pos="0"/>
        </w:tabs>
        <w:ind w:start="720" w:hanging="360"/>
      </w:pPr>
      <w:rPr>
        <w:rFonts w:ascii="Times New Roman" w:hAnsi="Times New Roman" w:cs="Times New Roman"/>
      </w:rPr>
    </w:lvl>
    <w:lvl w:ilvl="1">
      <w:start w:val="1"/>
      <w:numFmt w:val="decimal"/>
      <w:lvlText w:val="%1.%2."/>
      <w:lvlJc w:val="start"/>
      <w:pPr>
        <w:tabs>
          <w:tab w:val="num" w:pos="0"/>
        </w:tabs>
        <w:ind w:start="1080" w:hanging="360"/>
      </w:pPr>
      <w:rPr>
        <w:rFonts w:ascii="Times New Roman" w:hAnsi="Times New Roman" w:cs="Times New Roman"/>
      </w:rPr>
    </w:lvl>
    <w:lvl w:ilvl="2">
      <w:start w:val="1"/>
      <w:numFmt w:val="decimal"/>
      <w:lvlText w:val="%1.%2.%3."/>
      <w:lvlJc w:val="start"/>
      <w:pPr>
        <w:tabs>
          <w:tab w:val="num" w:pos="0"/>
        </w:tabs>
        <w:ind w:start="1440" w:hanging="360"/>
      </w:pPr>
      <w:rPr>
        <w:rFonts w:ascii="Times New Roman" w:hAnsi="Times New Roman" w:cs="Times New Roman"/>
      </w:rPr>
    </w:lvl>
    <w:lvl w:ilvl="3">
      <w:start w:val="1"/>
      <w:numFmt w:val="decimal"/>
      <w:lvlText w:val="%1.%2.%3.%4."/>
      <w:lvlJc w:val="start"/>
      <w:pPr>
        <w:tabs>
          <w:tab w:val="num" w:pos="0"/>
        </w:tabs>
        <w:ind w:start="1800" w:hanging="360"/>
      </w:pPr>
      <w:rPr>
        <w:rFonts w:ascii="Times New Roman" w:hAnsi="Times New Roman" w:cs="Times New Roman"/>
      </w:rPr>
    </w:lvl>
    <w:lvl w:ilvl="4">
      <w:start w:val="1"/>
      <w:numFmt w:val="decimal"/>
      <w:lvlText w:val="%1.%2.%3.%4.%5."/>
      <w:lvlJc w:val="start"/>
      <w:pPr>
        <w:tabs>
          <w:tab w:val="num" w:pos="0"/>
        </w:tabs>
        <w:ind w:start="2160" w:hanging="360"/>
      </w:pPr>
      <w:rPr>
        <w:rFonts w:ascii="Times New Roman" w:hAnsi="Times New Roman" w:cs="Times New Roman"/>
      </w:rPr>
    </w:lvl>
    <w:lvl w:ilvl="5">
      <w:start w:val="1"/>
      <w:numFmt w:val="decimal"/>
      <w:lvlText w:val="%1.%2.%3.%4.%5.%6."/>
      <w:lvlJc w:val="start"/>
      <w:pPr>
        <w:tabs>
          <w:tab w:val="num" w:pos="0"/>
        </w:tabs>
        <w:ind w:start="2520" w:hanging="360"/>
      </w:pPr>
      <w:rPr>
        <w:rFonts w:ascii="Times New Roman" w:hAnsi="Times New Roman" w:cs="Times New Roman"/>
      </w:rPr>
    </w:lvl>
    <w:lvl w:ilvl="6">
      <w:start w:val="1"/>
      <w:numFmt w:val="decimal"/>
      <w:lvlText w:val="%1.%2.%3.%4.%5.%6.%7."/>
      <w:lvlJc w:val="start"/>
      <w:pPr>
        <w:tabs>
          <w:tab w:val="num" w:pos="0"/>
        </w:tabs>
        <w:ind w:start="2880" w:hanging="360"/>
      </w:pPr>
      <w:rPr>
        <w:rFonts w:ascii="Times New Roman" w:hAnsi="Times New Roman" w:cs="Times New Roman"/>
      </w:rPr>
    </w:lvl>
    <w:lvl w:ilvl="7">
      <w:start w:val="1"/>
      <w:numFmt w:val="decimal"/>
      <w:lvlText w:val="%1.%2.%3.%4.%5.%6.%7.%8."/>
      <w:lvlJc w:val="start"/>
      <w:pPr>
        <w:tabs>
          <w:tab w:val="num" w:pos="0"/>
        </w:tabs>
        <w:ind w:start="3240" w:hanging="360"/>
      </w:pPr>
      <w:rPr>
        <w:rFonts w:ascii="Times New Roman" w:hAnsi="Times New Roman" w:cs="Times New Roman"/>
      </w:rPr>
    </w:lvl>
    <w:lvl w:ilvl="8">
      <w:start w:val="1"/>
      <w:numFmt w:val="decimal"/>
      <w:lvlText w:val="%1.%2.%3.%4.%5.%6.%7.%8.%9."/>
      <w:lvlJc w:val="start"/>
      <w:pPr>
        <w:tabs>
          <w:tab w:val="num" w:pos="0"/>
        </w:tabs>
        <w:ind w:start="3600" w:hanging="360"/>
      </w:pPr>
      <w:rPr>
        <w:rFonts w:ascii="Times New Roman" w:hAnsi="Times New Roman" w:cs="Times New Roman"/>
      </w:rPr>
    </w:lvl>
  </w:abstractNum>
  <w:abstractNum w:abstractNumId="31">
    <w:lvl w:ilvl="0">
      <w:start w:val="2"/>
      <w:numFmt w:val="decimal"/>
      <w:lvlText w:val="%1)"/>
      <w:lvlJc w:val="start"/>
      <w:pPr>
        <w:tabs>
          <w:tab w:val="num" w:pos="0"/>
        </w:tabs>
        <w:ind w:start="720" w:hanging="360"/>
      </w:pPr>
      <w:rPr>
        <w:rFonts w:ascii="Times New Roman" w:hAnsi="Times New Roman" w:cs="Times New Roman"/>
      </w:rPr>
    </w:lvl>
    <w:lvl w:ilvl="1">
      <w:start w:val="1"/>
      <w:numFmt w:val="decimal"/>
      <w:lvlText w:val="%1.%2."/>
      <w:lvlJc w:val="start"/>
      <w:pPr>
        <w:tabs>
          <w:tab w:val="num" w:pos="0"/>
        </w:tabs>
        <w:ind w:start="1080" w:hanging="360"/>
      </w:pPr>
      <w:rPr/>
    </w:lvl>
    <w:lvl w:ilvl="2">
      <w:start w:val="1"/>
      <w:numFmt w:val="decimal"/>
      <w:lvlText w:val="%1.%2.%3."/>
      <w:lvlJc w:val="start"/>
      <w:pPr>
        <w:tabs>
          <w:tab w:val="num" w:pos="0"/>
        </w:tabs>
        <w:ind w:start="1440" w:hanging="360"/>
      </w:pPr>
      <w:rPr/>
    </w:lvl>
    <w:lvl w:ilvl="3">
      <w:start w:val="1"/>
      <w:numFmt w:val="decimal"/>
      <w:lvlText w:val="%1.%2.%3.%4."/>
      <w:lvlJc w:val="start"/>
      <w:pPr>
        <w:tabs>
          <w:tab w:val="num" w:pos="0"/>
        </w:tabs>
        <w:ind w:start="1800" w:hanging="360"/>
      </w:pPr>
      <w:rPr/>
    </w:lvl>
    <w:lvl w:ilvl="4">
      <w:start w:val="1"/>
      <w:numFmt w:val="decimal"/>
      <w:lvlText w:val="%1.%2.%3.%4.%5."/>
      <w:lvlJc w:val="start"/>
      <w:pPr>
        <w:tabs>
          <w:tab w:val="num" w:pos="0"/>
        </w:tabs>
        <w:ind w:start="2160" w:hanging="360"/>
      </w:pPr>
      <w:rPr/>
    </w:lvl>
    <w:lvl w:ilvl="5">
      <w:start w:val="1"/>
      <w:numFmt w:val="decimal"/>
      <w:lvlText w:val="%1.%2.%3.%4.%5.%6."/>
      <w:lvlJc w:val="start"/>
      <w:pPr>
        <w:tabs>
          <w:tab w:val="num" w:pos="0"/>
        </w:tabs>
        <w:ind w:start="2520" w:hanging="360"/>
      </w:pPr>
      <w:rPr/>
    </w:lvl>
    <w:lvl w:ilvl="6">
      <w:start w:val="1"/>
      <w:numFmt w:val="decimal"/>
      <w:lvlText w:val="%1.%2.%3.%4.%5.%6.%7."/>
      <w:lvlJc w:val="start"/>
      <w:pPr>
        <w:tabs>
          <w:tab w:val="num" w:pos="0"/>
        </w:tabs>
        <w:ind w:start="2880" w:hanging="360"/>
      </w:pPr>
      <w:rPr/>
    </w:lvl>
    <w:lvl w:ilvl="7">
      <w:start w:val="1"/>
      <w:numFmt w:val="decimal"/>
      <w:lvlText w:val="%1.%2.%3.%4.%5.%6.%7.%8."/>
      <w:lvlJc w:val="start"/>
      <w:pPr>
        <w:tabs>
          <w:tab w:val="num" w:pos="0"/>
        </w:tabs>
        <w:ind w:start="3240" w:hanging="360"/>
      </w:pPr>
      <w:rPr/>
    </w:lvl>
    <w:lvl w:ilvl="8">
      <w:start w:val="1"/>
      <w:numFmt w:val="decimal"/>
      <w:lvlText w:val="%1.%2.%3.%4.%5.%6.%7.%8.%9."/>
      <w:lvlJc w:val="start"/>
      <w:pPr>
        <w:tabs>
          <w:tab w:val="num" w:pos="0"/>
        </w:tabs>
        <w:ind w:start="3600" w:hanging="360"/>
      </w:pPr>
      <w:rPr/>
    </w:lvl>
  </w:abstractNum>
  <w:abstractNum w:abstractNumId="32">
    <w:lvl w:ilvl="0">
      <w:numFmt w:val="bullet"/>
      <w:lvlText w:val="-"/>
      <w:lvlJc w:val="start"/>
      <w:pPr>
        <w:tabs>
          <w:tab w:val="num" w:pos="0"/>
        </w:tabs>
        <w:ind w:start="720" w:hanging="360"/>
      </w:pPr>
      <w:rPr>
        <w:rFonts w:ascii="Times New Roman" w:hAnsi="Times New Roman" w:cs="Times New Roman" w:hint="default"/>
        <w:b w:val="false"/>
        <w:bCs w:val="false"/>
        <w:i w:val="false"/>
        <w:iCs w:val="false"/>
        <w:spacing w:val="0"/>
        <w:sz w:val="22"/>
        <w:szCs w:val="22"/>
        <w:lang w:val="pl-PL" w:eastAsia="en-US" w:bidi="ar-SA"/>
      </w:rPr>
    </w:lvl>
    <w:lvl w:ilvl="1">
      <w:start w:val="1"/>
      <w:numFmt w:val="bullet"/>
      <w:lvlText w:val=""/>
      <w:lvlJc w:val="start"/>
      <w:pPr>
        <w:tabs>
          <w:tab w:val="num" w:pos="0"/>
        </w:tabs>
        <w:ind w:start="1440" w:hanging="360"/>
      </w:pPr>
      <w:rPr>
        <w:rFonts w:ascii="Symbol" w:hAnsi="Symbol" w:cs="Symbol" w:hint="default"/>
        <w:b w:val="false"/>
        <w:sz w:val="22"/>
        <w:szCs w:val="22"/>
        <w:lang w:val="pl-PL"/>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3">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4">
    <w:lvl w:ilvl="0">
      <w:start w:val="1"/>
      <w:numFmt w:val="lowerLetter"/>
      <w:lvlText w:val="%1)"/>
      <w:lvlJc w:val="start"/>
      <w:pPr>
        <w:tabs>
          <w:tab w:val="num" w:pos="0"/>
        </w:tabs>
        <w:ind w:start="1146" w:hanging="360"/>
      </w:pPr>
      <w:rPr/>
    </w:lvl>
    <w:lvl w:ilvl="1">
      <w:start w:val="1"/>
      <w:numFmt w:val="lowerLetter"/>
      <w:lvlText w:val="%2)"/>
      <w:lvlJc w:val="start"/>
      <w:pPr>
        <w:tabs>
          <w:tab w:val="num" w:pos="0"/>
        </w:tabs>
        <w:ind w:start="1866" w:hanging="360"/>
      </w:pPr>
      <w:rPr/>
    </w:lvl>
    <w:lvl w:ilvl="2">
      <w:start w:val="1"/>
      <w:numFmt w:val="lowerRoman"/>
      <w:lvlText w:val="%3."/>
      <w:lvlJc w:val="end"/>
      <w:pPr>
        <w:tabs>
          <w:tab w:val="num" w:pos="0"/>
        </w:tabs>
        <w:ind w:start="2586" w:hanging="180"/>
      </w:pPr>
      <w:rPr/>
    </w:lvl>
    <w:lvl w:ilvl="3">
      <w:start w:val="1"/>
      <w:numFmt w:val="decimal"/>
      <w:lvlText w:val="%4."/>
      <w:lvlJc w:val="start"/>
      <w:pPr>
        <w:tabs>
          <w:tab w:val="num" w:pos="0"/>
        </w:tabs>
        <w:ind w:start="3306" w:hanging="360"/>
      </w:pPr>
      <w:rPr/>
    </w:lvl>
    <w:lvl w:ilvl="4">
      <w:start w:val="1"/>
      <w:numFmt w:val="lowerLetter"/>
      <w:lvlText w:val="%5."/>
      <w:lvlJc w:val="start"/>
      <w:pPr>
        <w:tabs>
          <w:tab w:val="num" w:pos="0"/>
        </w:tabs>
        <w:ind w:start="4026" w:hanging="360"/>
      </w:pPr>
      <w:rPr/>
    </w:lvl>
    <w:lvl w:ilvl="5">
      <w:start w:val="1"/>
      <w:numFmt w:val="lowerRoman"/>
      <w:lvlText w:val="%6."/>
      <w:lvlJc w:val="end"/>
      <w:pPr>
        <w:tabs>
          <w:tab w:val="num" w:pos="0"/>
        </w:tabs>
        <w:ind w:start="4746" w:hanging="180"/>
      </w:pPr>
      <w:rPr/>
    </w:lvl>
    <w:lvl w:ilvl="6">
      <w:start w:val="1"/>
      <w:numFmt w:val="decimal"/>
      <w:lvlText w:val="%7."/>
      <w:lvlJc w:val="start"/>
      <w:pPr>
        <w:tabs>
          <w:tab w:val="num" w:pos="0"/>
        </w:tabs>
        <w:ind w:start="5466" w:hanging="360"/>
      </w:pPr>
      <w:rPr/>
    </w:lvl>
    <w:lvl w:ilvl="7">
      <w:start w:val="1"/>
      <w:numFmt w:val="lowerLetter"/>
      <w:lvlText w:val="%8."/>
      <w:lvlJc w:val="start"/>
      <w:pPr>
        <w:tabs>
          <w:tab w:val="num" w:pos="0"/>
        </w:tabs>
        <w:ind w:start="6186" w:hanging="360"/>
      </w:pPr>
      <w:rPr/>
    </w:lvl>
    <w:lvl w:ilvl="8">
      <w:start w:val="1"/>
      <w:numFmt w:val="lowerRoman"/>
      <w:lvlText w:val="%9."/>
      <w:lvlJc w:val="end"/>
      <w:pPr>
        <w:tabs>
          <w:tab w:val="num" w:pos="0"/>
        </w:tabs>
        <w:ind w:start="6906" w:hanging="180"/>
      </w:pPr>
      <w:rPr/>
    </w:lvl>
  </w:abstractNum>
  <w:abstractNum w:abstractNumId="35">
    <w:lvl w:ilvl="0">
      <w:start w:val="1"/>
      <w:numFmt w:val="lowerLetter"/>
      <w:lvlText w:val="%1)"/>
      <w:lvlJc w:val="start"/>
      <w:pPr>
        <w:tabs>
          <w:tab w:val="num" w:pos="0"/>
        </w:tabs>
        <w:ind w:start="1146" w:hanging="360"/>
      </w:pPr>
      <w:rPr/>
    </w:lvl>
    <w:lvl w:ilvl="1">
      <w:start w:val="1"/>
      <w:numFmt w:val="lowerLetter"/>
      <w:lvlText w:val="%2)"/>
      <w:lvlJc w:val="start"/>
      <w:pPr>
        <w:tabs>
          <w:tab w:val="num" w:pos="0"/>
        </w:tabs>
        <w:ind w:start="1866" w:hanging="360"/>
      </w:pPr>
      <w:rPr/>
    </w:lvl>
    <w:lvl w:ilvl="2">
      <w:start w:val="1"/>
      <w:numFmt w:val="lowerRoman"/>
      <w:lvlText w:val="%3."/>
      <w:lvlJc w:val="end"/>
      <w:pPr>
        <w:tabs>
          <w:tab w:val="num" w:pos="0"/>
        </w:tabs>
        <w:ind w:start="2586" w:hanging="180"/>
      </w:pPr>
      <w:rPr/>
    </w:lvl>
    <w:lvl w:ilvl="3">
      <w:start w:val="1"/>
      <w:numFmt w:val="decimal"/>
      <w:lvlText w:val="%4."/>
      <w:lvlJc w:val="start"/>
      <w:pPr>
        <w:tabs>
          <w:tab w:val="num" w:pos="0"/>
        </w:tabs>
        <w:ind w:start="3306" w:hanging="360"/>
      </w:pPr>
      <w:rPr/>
    </w:lvl>
    <w:lvl w:ilvl="4">
      <w:start w:val="1"/>
      <w:numFmt w:val="lowerLetter"/>
      <w:lvlText w:val="%5."/>
      <w:lvlJc w:val="start"/>
      <w:pPr>
        <w:tabs>
          <w:tab w:val="num" w:pos="0"/>
        </w:tabs>
        <w:ind w:start="4026" w:hanging="360"/>
      </w:pPr>
      <w:rPr/>
    </w:lvl>
    <w:lvl w:ilvl="5">
      <w:start w:val="1"/>
      <w:numFmt w:val="lowerRoman"/>
      <w:lvlText w:val="%6."/>
      <w:lvlJc w:val="end"/>
      <w:pPr>
        <w:tabs>
          <w:tab w:val="num" w:pos="0"/>
        </w:tabs>
        <w:ind w:start="4746" w:hanging="180"/>
      </w:pPr>
      <w:rPr/>
    </w:lvl>
    <w:lvl w:ilvl="6">
      <w:start w:val="1"/>
      <w:numFmt w:val="decimal"/>
      <w:lvlText w:val="%7."/>
      <w:lvlJc w:val="start"/>
      <w:pPr>
        <w:tabs>
          <w:tab w:val="num" w:pos="0"/>
        </w:tabs>
        <w:ind w:start="5466" w:hanging="360"/>
      </w:pPr>
      <w:rPr/>
    </w:lvl>
    <w:lvl w:ilvl="7">
      <w:start w:val="1"/>
      <w:numFmt w:val="lowerLetter"/>
      <w:lvlText w:val="%8."/>
      <w:lvlJc w:val="start"/>
      <w:pPr>
        <w:tabs>
          <w:tab w:val="num" w:pos="0"/>
        </w:tabs>
        <w:ind w:start="6186" w:hanging="360"/>
      </w:pPr>
      <w:rPr/>
    </w:lvl>
    <w:lvl w:ilvl="8">
      <w:start w:val="1"/>
      <w:numFmt w:val="lowerRoman"/>
      <w:lvlText w:val="%9."/>
      <w:lvlJc w:val="end"/>
      <w:pPr>
        <w:tabs>
          <w:tab w:val="num" w:pos="0"/>
        </w:tabs>
        <w:ind w:start="6906" w:hanging="180"/>
      </w:pPr>
      <w:rPr/>
    </w:lvl>
  </w:abstractNum>
  <w:abstractNum w:abstractNumId="36">
    <w:lvl w:ilvl="0">
      <w:start w:val="1"/>
      <w:numFmt w:val="decimal"/>
      <w:lvlText w:val="%1)"/>
      <w:lvlJc w:val="start"/>
      <w:pPr>
        <w:tabs>
          <w:tab w:val="num" w:pos="0"/>
        </w:tabs>
        <w:ind w:start="720" w:hanging="360"/>
      </w:pPr>
      <w:rPr>
        <w:sz w:val="22"/>
        <w:szCs w:val="22"/>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7">
    <w:lvl w:ilvl="0">
      <w:start w:val="1"/>
      <w:numFmt w:val="lowerLetter"/>
      <w:lvlText w:val="%1)"/>
      <w:lvlJc w:val="start"/>
      <w:pPr>
        <w:tabs>
          <w:tab w:val="num" w:pos="0"/>
        </w:tabs>
        <w:ind w:start="720" w:hanging="360"/>
      </w:pPr>
      <w:rPr>
        <w:rFonts w:ascii="Times New Roman" w:hAnsi="Times New Roman" w:cs="Times New Roman"/>
        <w:b w:val="false"/>
        <w:bCs w:val="false"/>
      </w:rPr>
    </w:lvl>
    <w:lvl w:ilvl="1">
      <w:start w:val="1"/>
      <w:numFmt w:val="decimal"/>
      <w:lvlText w:val="%1.%2."/>
      <w:lvlJc w:val="start"/>
      <w:pPr>
        <w:tabs>
          <w:tab w:val="num" w:pos="0"/>
        </w:tabs>
        <w:ind w:start="1080" w:hanging="360"/>
      </w:pPr>
      <w:rPr/>
    </w:lvl>
    <w:lvl w:ilvl="2">
      <w:start w:val="1"/>
      <w:numFmt w:val="decimal"/>
      <w:lvlText w:val="%1.%2.%3."/>
      <w:lvlJc w:val="start"/>
      <w:pPr>
        <w:tabs>
          <w:tab w:val="num" w:pos="0"/>
        </w:tabs>
        <w:ind w:start="1440" w:hanging="360"/>
      </w:pPr>
      <w:rPr/>
    </w:lvl>
    <w:lvl w:ilvl="3">
      <w:start w:val="1"/>
      <w:numFmt w:val="decimal"/>
      <w:lvlText w:val="%1.%2.%3.%4."/>
      <w:lvlJc w:val="start"/>
      <w:pPr>
        <w:tabs>
          <w:tab w:val="num" w:pos="0"/>
        </w:tabs>
        <w:ind w:start="1800" w:hanging="360"/>
      </w:pPr>
      <w:rPr/>
    </w:lvl>
    <w:lvl w:ilvl="4">
      <w:start w:val="1"/>
      <w:numFmt w:val="decimal"/>
      <w:lvlText w:val="%1.%2.%3.%4.%5."/>
      <w:lvlJc w:val="start"/>
      <w:pPr>
        <w:tabs>
          <w:tab w:val="num" w:pos="0"/>
        </w:tabs>
        <w:ind w:start="2160" w:hanging="360"/>
      </w:pPr>
      <w:rPr/>
    </w:lvl>
    <w:lvl w:ilvl="5">
      <w:start w:val="1"/>
      <w:numFmt w:val="decimal"/>
      <w:lvlText w:val="%1.%2.%3.%4.%5.%6."/>
      <w:lvlJc w:val="start"/>
      <w:pPr>
        <w:tabs>
          <w:tab w:val="num" w:pos="0"/>
        </w:tabs>
        <w:ind w:start="2520" w:hanging="360"/>
      </w:pPr>
      <w:rPr/>
    </w:lvl>
    <w:lvl w:ilvl="6">
      <w:start w:val="1"/>
      <w:numFmt w:val="decimal"/>
      <w:lvlText w:val="%1.%2.%3.%4.%5.%6.%7."/>
      <w:lvlJc w:val="start"/>
      <w:pPr>
        <w:tabs>
          <w:tab w:val="num" w:pos="0"/>
        </w:tabs>
        <w:ind w:start="2880" w:hanging="360"/>
      </w:pPr>
      <w:rPr/>
    </w:lvl>
    <w:lvl w:ilvl="7">
      <w:start w:val="1"/>
      <w:numFmt w:val="decimal"/>
      <w:lvlText w:val="%1.%2.%3.%4.%5.%6.%7.%8."/>
      <w:lvlJc w:val="start"/>
      <w:pPr>
        <w:tabs>
          <w:tab w:val="num" w:pos="0"/>
        </w:tabs>
        <w:ind w:start="3240" w:hanging="360"/>
      </w:pPr>
      <w:rPr/>
    </w:lvl>
    <w:lvl w:ilvl="8">
      <w:start w:val="1"/>
      <w:numFmt w:val="decimal"/>
      <w:lvlText w:val="%1.%2.%3.%4.%5.%6.%7.%8.%9."/>
      <w:lvlJc w:val="start"/>
      <w:pPr>
        <w:tabs>
          <w:tab w:val="num" w:pos="0"/>
        </w:tabs>
        <w:ind w:start="3600" w:hanging="360"/>
      </w:pPr>
      <w:rPr/>
    </w:lvl>
  </w:abstractNum>
  <w:abstractNum w:abstractNumId="38">
    <w:lvl w:ilvl="0">
      <w:start w:val="1"/>
      <w:numFmt w:val="decimal"/>
      <w:lvlText w:val="%1."/>
      <w:lvlJc w:val="start"/>
      <w:pPr>
        <w:tabs>
          <w:tab w:val="num" w:pos="0"/>
        </w:tabs>
        <w:ind w:start="720" w:hanging="360"/>
      </w:pPr>
      <w:rPr>
        <w:rFonts w:ascii="Times New Roman" w:hAnsi="Times New Roman" w:cs="Times New Roman"/>
      </w:rPr>
    </w:lvl>
    <w:lvl w:ilvl="1">
      <w:start w:val="1"/>
      <w:numFmt w:val="decimal"/>
      <w:lvlText w:val="%1.%2."/>
      <w:lvlJc w:val="start"/>
      <w:pPr>
        <w:tabs>
          <w:tab w:val="num" w:pos="0"/>
        </w:tabs>
        <w:ind w:start="1080" w:hanging="360"/>
      </w:pPr>
      <w:rPr>
        <w:rFonts w:ascii="Times New Roman" w:hAnsi="Times New Roman" w:cs="Times New Roman"/>
      </w:rPr>
    </w:lvl>
    <w:lvl w:ilvl="2">
      <w:start w:val="1"/>
      <w:numFmt w:val="decimal"/>
      <w:lvlText w:val="%1.%2.%3."/>
      <w:lvlJc w:val="start"/>
      <w:pPr>
        <w:tabs>
          <w:tab w:val="num" w:pos="0"/>
        </w:tabs>
        <w:ind w:start="1440" w:hanging="360"/>
      </w:pPr>
      <w:rPr>
        <w:rFonts w:ascii="Times New Roman" w:hAnsi="Times New Roman" w:cs="Times New Roman"/>
      </w:rPr>
    </w:lvl>
    <w:lvl w:ilvl="3">
      <w:start w:val="1"/>
      <w:numFmt w:val="decimal"/>
      <w:lvlText w:val="%1.%2.%3.%4."/>
      <w:lvlJc w:val="start"/>
      <w:pPr>
        <w:tabs>
          <w:tab w:val="num" w:pos="0"/>
        </w:tabs>
        <w:ind w:start="1800" w:hanging="360"/>
      </w:pPr>
      <w:rPr>
        <w:rFonts w:ascii="Times New Roman" w:hAnsi="Times New Roman" w:cs="Times New Roman"/>
      </w:rPr>
    </w:lvl>
    <w:lvl w:ilvl="4">
      <w:start w:val="1"/>
      <w:numFmt w:val="decimal"/>
      <w:lvlText w:val="%1.%2.%3.%4.%5."/>
      <w:lvlJc w:val="start"/>
      <w:pPr>
        <w:tabs>
          <w:tab w:val="num" w:pos="0"/>
        </w:tabs>
        <w:ind w:start="2160" w:hanging="360"/>
      </w:pPr>
      <w:rPr>
        <w:rFonts w:ascii="Times New Roman" w:hAnsi="Times New Roman" w:cs="Times New Roman"/>
      </w:rPr>
    </w:lvl>
    <w:lvl w:ilvl="5">
      <w:start w:val="1"/>
      <w:numFmt w:val="decimal"/>
      <w:lvlText w:val="%1.%2.%3.%4.%5.%6."/>
      <w:lvlJc w:val="start"/>
      <w:pPr>
        <w:tabs>
          <w:tab w:val="num" w:pos="0"/>
        </w:tabs>
        <w:ind w:start="2520" w:hanging="360"/>
      </w:pPr>
      <w:rPr>
        <w:rFonts w:ascii="Times New Roman" w:hAnsi="Times New Roman" w:cs="Times New Roman"/>
      </w:rPr>
    </w:lvl>
    <w:lvl w:ilvl="6">
      <w:start w:val="1"/>
      <w:numFmt w:val="decimal"/>
      <w:lvlText w:val="%1.%2.%3.%4.%5.%6.%7."/>
      <w:lvlJc w:val="start"/>
      <w:pPr>
        <w:tabs>
          <w:tab w:val="num" w:pos="0"/>
        </w:tabs>
        <w:ind w:start="2880" w:hanging="360"/>
      </w:pPr>
      <w:rPr>
        <w:rFonts w:ascii="Times New Roman" w:hAnsi="Times New Roman" w:cs="Times New Roman"/>
      </w:rPr>
    </w:lvl>
    <w:lvl w:ilvl="7">
      <w:start w:val="1"/>
      <w:numFmt w:val="decimal"/>
      <w:lvlText w:val="%1.%2.%3.%4.%5.%6.%7.%8."/>
      <w:lvlJc w:val="start"/>
      <w:pPr>
        <w:tabs>
          <w:tab w:val="num" w:pos="0"/>
        </w:tabs>
        <w:ind w:start="3240" w:hanging="360"/>
      </w:pPr>
      <w:rPr>
        <w:rFonts w:ascii="Times New Roman" w:hAnsi="Times New Roman" w:cs="Times New Roman"/>
      </w:rPr>
    </w:lvl>
    <w:lvl w:ilvl="8">
      <w:start w:val="1"/>
      <w:numFmt w:val="decimal"/>
      <w:lvlText w:val="%1.%2.%3.%4.%5.%6.%7.%8.%9."/>
      <w:lvlJc w:val="start"/>
      <w:pPr>
        <w:tabs>
          <w:tab w:val="num" w:pos="0"/>
        </w:tabs>
        <w:ind w:start="3600" w:hanging="360"/>
      </w:pPr>
      <w:rPr>
        <w:rFonts w:ascii="Times New Roman" w:hAnsi="Times New Roman" w:cs="Times New Roman"/>
      </w:rPr>
    </w:lvl>
  </w:abstractNum>
  <w:abstractNum w:abstractNumId="39">
    <w:lvl w:ilvl="0">
      <w:start w:val="1"/>
      <w:numFmt w:val="lowerLetter"/>
      <w:lvlText w:val="%1)"/>
      <w:lvlJc w:val="start"/>
      <w:pPr>
        <w:tabs>
          <w:tab w:val="num" w:pos="0"/>
        </w:tabs>
        <w:ind w:start="720" w:hanging="360"/>
      </w:pPr>
      <w:rPr>
        <w:rFonts w:ascii="Times New Roman" w:hAnsi="Times New Roman" w:cs="Times New Roman"/>
        <w:b w:val="false"/>
        <w:bCs w:val="false"/>
      </w:rPr>
    </w:lvl>
    <w:lvl w:ilvl="1">
      <w:start w:val="1"/>
      <w:numFmt w:val="decimal"/>
      <w:lvlText w:val="%1.%2."/>
      <w:lvlJc w:val="start"/>
      <w:pPr>
        <w:tabs>
          <w:tab w:val="num" w:pos="0"/>
        </w:tabs>
        <w:ind w:start="1080" w:hanging="360"/>
      </w:pPr>
      <w:rPr/>
    </w:lvl>
    <w:lvl w:ilvl="2">
      <w:start w:val="1"/>
      <w:numFmt w:val="decimal"/>
      <w:lvlText w:val="%1.%2.%3."/>
      <w:lvlJc w:val="start"/>
      <w:pPr>
        <w:tabs>
          <w:tab w:val="num" w:pos="0"/>
        </w:tabs>
        <w:ind w:start="1440" w:hanging="360"/>
      </w:pPr>
      <w:rPr/>
    </w:lvl>
    <w:lvl w:ilvl="3">
      <w:start w:val="1"/>
      <w:numFmt w:val="decimal"/>
      <w:lvlText w:val="%1.%2.%3.%4."/>
      <w:lvlJc w:val="start"/>
      <w:pPr>
        <w:tabs>
          <w:tab w:val="num" w:pos="0"/>
        </w:tabs>
        <w:ind w:start="1800" w:hanging="360"/>
      </w:pPr>
      <w:rPr/>
    </w:lvl>
    <w:lvl w:ilvl="4">
      <w:start w:val="1"/>
      <w:numFmt w:val="decimal"/>
      <w:lvlText w:val="%1.%2.%3.%4.%5."/>
      <w:lvlJc w:val="start"/>
      <w:pPr>
        <w:tabs>
          <w:tab w:val="num" w:pos="0"/>
        </w:tabs>
        <w:ind w:start="2160" w:hanging="360"/>
      </w:pPr>
      <w:rPr/>
    </w:lvl>
    <w:lvl w:ilvl="5">
      <w:start w:val="1"/>
      <w:numFmt w:val="decimal"/>
      <w:lvlText w:val="%1.%2.%3.%4.%5.%6."/>
      <w:lvlJc w:val="start"/>
      <w:pPr>
        <w:tabs>
          <w:tab w:val="num" w:pos="0"/>
        </w:tabs>
        <w:ind w:start="2520" w:hanging="360"/>
      </w:pPr>
      <w:rPr/>
    </w:lvl>
    <w:lvl w:ilvl="6">
      <w:start w:val="1"/>
      <w:numFmt w:val="decimal"/>
      <w:lvlText w:val="%1.%2.%3.%4.%5.%6.%7."/>
      <w:lvlJc w:val="start"/>
      <w:pPr>
        <w:tabs>
          <w:tab w:val="num" w:pos="0"/>
        </w:tabs>
        <w:ind w:start="2880" w:hanging="360"/>
      </w:pPr>
      <w:rPr/>
    </w:lvl>
    <w:lvl w:ilvl="7">
      <w:start w:val="1"/>
      <w:numFmt w:val="decimal"/>
      <w:lvlText w:val="%1.%2.%3.%4.%5.%6.%7.%8."/>
      <w:lvlJc w:val="start"/>
      <w:pPr>
        <w:tabs>
          <w:tab w:val="num" w:pos="0"/>
        </w:tabs>
        <w:ind w:start="3240" w:hanging="360"/>
      </w:pPr>
      <w:rPr/>
    </w:lvl>
    <w:lvl w:ilvl="8">
      <w:start w:val="1"/>
      <w:numFmt w:val="decimal"/>
      <w:lvlText w:val="%1.%2.%3.%4.%5.%6.%7.%8.%9."/>
      <w:lvlJc w:val="start"/>
      <w:pPr>
        <w:tabs>
          <w:tab w:val="num" w:pos="0"/>
        </w:tabs>
        <w:ind w:start="3600" w:hanging="360"/>
      </w:pPr>
      <w:rPr/>
    </w:lvl>
  </w:abstractNum>
  <w:abstractNum w:abstractNumId="40">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1">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2">
    <w:lvl w:ilvl="0">
      <w:start w:val="13"/>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3">
    <w:lvl w:ilvl="0">
      <w:start w:val="1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4">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5">
    <w:lvl w:ilvl="0">
      <w:start w:val="1"/>
      <w:numFmt w:val="decimal"/>
      <w:lvlText w:val="%1)"/>
      <w:lvlJc w:val="start"/>
      <w:pPr>
        <w:tabs>
          <w:tab w:val="num" w:pos="0"/>
        </w:tabs>
        <w:ind w:start="786" w:hanging="360"/>
      </w:pPr>
      <w:rPr>
        <w:b w:val="false"/>
        <w:sz w:val="22"/>
        <w:szCs w:val="22"/>
      </w:rPr>
    </w:lvl>
    <w:lvl w:ilvl="1">
      <w:start w:val="1"/>
      <w:numFmt w:val="lowerLetter"/>
      <w:lvlText w:val="%2."/>
      <w:lvlJc w:val="start"/>
      <w:pPr>
        <w:tabs>
          <w:tab w:val="num" w:pos="0"/>
        </w:tabs>
        <w:ind w:start="1506" w:hanging="360"/>
      </w:pPr>
      <w:rPr/>
    </w:lvl>
    <w:lvl w:ilvl="2">
      <w:start w:val="1"/>
      <w:numFmt w:val="lowerRoman"/>
      <w:lvlText w:val="%3."/>
      <w:lvlJc w:val="end"/>
      <w:pPr>
        <w:tabs>
          <w:tab w:val="num" w:pos="0"/>
        </w:tabs>
        <w:ind w:start="2226" w:hanging="180"/>
      </w:pPr>
      <w:rPr/>
    </w:lvl>
    <w:lvl w:ilvl="3">
      <w:start w:val="1"/>
      <w:numFmt w:val="decimal"/>
      <w:lvlText w:val="%4."/>
      <w:lvlJc w:val="start"/>
      <w:pPr>
        <w:tabs>
          <w:tab w:val="num" w:pos="0"/>
        </w:tabs>
        <w:ind w:start="2946" w:hanging="360"/>
      </w:pPr>
      <w:rPr/>
    </w:lvl>
    <w:lvl w:ilvl="4">
      <w:start w:val="1"/>
      <w:numFmt w:val="lowerLetter"/>
      <w:lvlText w:val="%5."/>
      <w:lvlJc w:val="start"/>
      <w:pPr>
        <w:tabs>
          <w:tab w:val="num" w:pos="0"/>
        </w:tabs>
        <w:ind w:start="3666" w:hanging="360"/>
      </w:pPr>
      <w:rPr/>
    </w:lvl>
    <w:lvl w:ilvl="5">
      <w:start w:val="1"/>
      <w:numFmt w:val="lowerRoman"/>
      <w:lvlText w:val="%6."/>
      <w:lvlJc w:val="end"/>
      <w:pPr>
        <w:tabs>
          <w:tab w:val="num" w:pos="0"/>
        </w:tabs>
        <w:ind w:start="4386" w:hanging="180"/>
      </w:pPr>
      <w:rPr/>
    </w:lvl>
    <w:lvl w:ilvl="6">
      <w:start w:val="1"/>
      <w:numFmt w:val="decimal"/>
      <w:lvlText w:val="%7."/>
      <w:lvlJc w:val="start"/>
      <w:pPr>
        <w:tabs>
          <w:tab w:val="num" w:pos="0"/>
        </w:tabs>
        <w:ind w:start="5106" w:hanging="360"/>
      </w:pPr>
      <w:rPr/>
    </w:lvl>
    <w:lvl w:ilvl="7">
      <w:start w:val="1"/>
      <w:numFmt w:val="lowerLetter"/>
      <w:lvlText w:val="%8."/>
      <w:lvlJc w:val="start"/>
      <w:pPr>
        <w:tabs>
          <w:tab w:val="num" w:pos="0"/>
        </w:tabs>
        <w:ind w:start="5826" w:hanging="360"/>
      </w:pPr>
      <w:rPr/>
    </w:lvl>
    <w:lvl w:ilvl="8">
      <w:start w:val="1"/>
      <w:numFmt w:val="lowerRoman"/>
      <w:lvlText w:val="%9."/>
      <w:lvlJc w:val="end"/>
      <w:pPr>
        <w:tabs>
          <w:tab w:val="num" w:pos="0"/>
        </w:tabs>
        <w:ind w:start="6546" w:hanging="180"/>
      </w:pPr>
      <w:rPr/>
    </w:lvl>
  </w:abstractNum>
  <w:abstractNum w:abstractNumId="46">
    <w:lvl w:ilvl="0">
      <w:start w:val="2"/>
      <w:numFmt w:val="decimal"/>
      <w:lvlText w:val="%1."/>
      <w:lvlJc w:val="start"/>
      <w:pPr>
        <w:tabs>
          <w:tab w:val="num" w:pos="0"/>
        </w:tabs>
        <w:ind w:start="786" w:hanging="360"/>
      </w:pPr>
      <w:rPr>
        <w:b w:val="false"/>
        <w:sz w:val="22"/>
        <w:szCs w:val="22"/>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7">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27"/>
    <w:lvlOverride w:ilvl="0">
      <w:startOverride w:val="1"/>
    </w:lvlOverride>
  </w:num>
  <w:num w:numId="49">
    <w:abstractNumId w:val="28"/>
    <w:lvlOverride w:ilvl="0">
      <w:startOverride w:val="1"/>
    </w:lvlOverride>
  </w:num>
  <w:num w:numId="50">
    <w:abstractNumId w:val="29"/>
    <w:lvlOverride w:ilvl="0">
      <w:startOverride w:val="1"/>
    </w:lvlOverride>
  </w:num>
  <w:num w:numId="51">
    <w:abstractNumId w:val="30"/>
    <w:lvlOverride w:ilvl="0">
      <w:startOverride w:val="1"/>
    </w:lvlOverride>
  </w:num>
</w:numbering>
</file>

<file path=word/settings.xml><?xml version="1.0" encoding="utf-8"?>
<w:settings xmlns:w="http://schemas.openxmlformats.org/wordprocessingml/2006/main">
  <w:zoom w:percent="100"/>
  <w:documentProtection w:edit="readOnly" w:enforcement="0" w:formatting="1" w:cryptProviderType="rsaAES" w:cryptAlgorithmClass="hash" w:cryptAlgorithmType="typeAny" w:cryptSpinCount="0" w:hash="" w:salt=""/>
  <w:defaultTabStop w:val="709"/>
  <w:autoHyphenation w:val="true"/>
  <w:hyphenationZone w:val="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start"/>
    </w:pPr>
    <w:rPr>
      <w:rFonts w:ascii="Calibri" w:hAnsi="Calibri" w:eastAsia="Calibri" w:cs="Arial" w:asciiTheme="minorHAnsi" w:cstheme="minorBidi" w:eastAsiaTheme="minorHAnsi" w:hAnsiTheme="minorHAnsi"/>
      <w:color w:val="auto"/>
      <w:kern w:val="0"/>
      <w:sz w:val="22"/>
      <w:szCs w:val="22"/>
      <w:lang w:val="pl-PL" w:eastAsia="en-US" w:bidi="ar-SA"/>
    </w:rPr>
  </w:style>
  <w:style w:type="paragraph" w:styleId="Heading1">
    <w:name w:val="heading 1"/>
    <w:basedOn w:val="Normal"/>
    <w:link w:val="Nagwek1Znak"/>
    <w:uiPriority w:val="1"/>
    <w:qFormat/>
    <w:pPr>
      <w:widowControl w:val="false"/>
      <w:spacing w:lineRule="auto" w:line="240" w:before="0" w:after="0"/>
      <w:ind w:start="1027"/>
      <w:outlineLvl w:val="0"/>
    </w:pPr>
    <w:rPr>
      <w:rFonts w:ascii="Times New Roman" w:hAnsi="Times New Roman" w:eastAsia="Times New Roman" w:cs="Times New Roman"/>
      <w:b/>
      <w:bCs/>
    </w:rPr>
  </w:style>
  <w:style w:type="paragraph" w:styleId="Heading2">
    <w:name w:val="heading 2"/>
    <w:basedOn w:val="Normal"/>
    <w:next w:val="Normal"/>
    <w:link w:val="Nagwek2Znak"/>
    <w:uiPriority w:val="9"/>
    <w:unhideWhenUsed/>
    <w:qFormat/>
    <w:pPr>
      <w:keepNext w:val="true"/>
      <w:keepLines/>
      <w:spacing w:before="160" w:after="80"/>
      <w:outlineLvl w:val="1"/>
    </w:pPr>
    <w:rPr>
      <w:rFonts w:ascii="Arial" w:hAnsi="Arial" w:eastAsia="Arial" w:cs="Arial"/>
      <w:color w:themeColor="accent1" w:themeShade="bf" w:val="2F5496"/>
      <w:sz w:val="32"/>
      <w:szCs w:val="32"/>
    </w:rPr>
  </w:style>
  <w:style w:type="paragraph" w:styleId="Heading3">
    <w:name w:val="heading 3"/>
    <w:basedOn w:val="Normal"/>
    <w:next w:val="Normal"/>
    <w:link w:val="Nagwek3Znak"/>
    <w:uiPriority w:val="9"/>
    <w:unhideWhenUsed/>
    <w:qFormat/>
    <w:pPr>
      <w:keepNext w:val="true"/>
      <w:keepLines/>
      <w:spacing w:before="160" w:after="80"/>
      <w:outlineLvl w:val="2"/>
    </w:pPr>
    <w:rPr>
      <w:rFonts w:ascii="Arial" w:hAnsi="Arial" w:eastAsia="Arial" w:cs="Arial"/>
      <w:color w:themeColor="accent1" w:themeShade="bf" w:val="2F5496"/>
      <w:sz w:val="28"/>
      <w:szCs w:val="28"/>
    </w:rPr>
  </w:style>
  <w:style w:type="paragraph" w:styleId="Heading4">
    <w:name w:val="heading 4"/>
    <w:basedOn w:val="Normal"/>
    <w:next w:val="Normal"/>
    <w:link w:val="Nagwek4Znak"/>
    <w:uiPriority w:val="9"/>
    <w:unhideWhenUsed/>
    <w:qFormat/>
    <w:pPr>
      <w:keepNext w:val="true"/>
      <w:keepLines/>
      <w:spacing w:before="80" w:after="40"/>
      <w:outlineLvl w:val="3"/>
    </w:pPr>
    <w:rPr>
      <w:rFonts w:ascii="Arial" w:hAnsi="Arial" w:eastAsia="Arial" w:cs="Arial"/>
      <w:i/>
      <w:iCs/>
      <w:color w:themeColor="accent1" w:themeShade="bf" w:val="2F5496"/>
    </w:rPr>
  </w:style>
  <w:style w:type="paragraph" w:styleId="Heading5">
    <w:name w:val="heading 5"/>
    <w:basedOn w:val="Normal"/>
    <w:next w:val="Normal"/>
    <w:link w:val="Nagwek5Znak"/>
    <w:uiPriority w:val="9"/>
    <w:unhideWhenUsed/>
    <w:qFormat/>
    <w:pPr>
      <w:keepNext w:val="true"/>
      <w:keepLines/>
      <w:spacing w:before="80" w:after="40"/>
      <w:outlineLvl w:val="4"/>
    </w:pPr>
    <w:rPr>
      <w:rFonts w:ascii="Arial" w:hAnsi="Arial" w:eastAsia="Arial" w:cs="Arial"/>
      <w:color w:themeColor="accent1" w:themeShade="bf" w:val="2F5496"/>
    </w:rPr>
  </w:style>
  <w:style w:type="paragraph" w:styleId="Heading6">
    <w:name w:val="heading 6"/>
    <w:basedOn w:val="Normal"/>
    <w:next w:val="Normal"/>
    <w:link w:val="Nagwek6Znak"/>
    <w:uiPriority w:val="9"/>
    <w:unhideWhenUsed/>
    <w:qFormat/>
    <w:pPr>
      <w:keepNext w:val="true"/>
      <w:keepLines/>
      <w:spacing w:before="40" w:after="0"/>
      <w:outlineLvl w:val="5"/>
    </w:pPr>
    <w:rPr>
      <w:rFonts w:ascii="Arial" w:hAnsi="Arial" w:eastAsia="Arial" w:cs="Arial"/>
      <w:i/>
      <w:iCs/>
      <w:color w:themeColor="text1" w:themeTint="a6" w:val="595959"/>
    </w:rPr>
  </w:style>
  <w:style w:type="paragraph" w:styleId="Heading7">
    <w:name w:val="heading 7"/>
    <w:basedOn w:val="Normal"/>
    <w:next w:val="Normal"/>
    <w:link w:val="Nagwek7Znak"/>
    <w:uiPriority w:val="9"/>
    <w:unhideWhenUsed/>
    <w:qFormat/>
    <w:pPr>
      <w:keepNext w:val="true"/>
      <w:keepLines/>
      <w:spacing w:before="40" w:after="0"/>
      <w:outlineLvl w:val="6"/>
    </w:pPr>
    <w:rPr>
      <w:rFonts w:ascii="Arial" w:hAnsi="Arial" w:eastAsia="Arial" w:cs="Arial"/>
      <w:color w:themeColor="text1" w:themeTint="a6" w:val="595959"/>
    </w:rPr>
  </w:style>
  <w:style w:type="paragraph" w:styleId="Heading8">
    <w:name w:val="heading 8"/>
    <w:basedOn w:val="Normal"/>
    <w:next w:val="Normal"/>
    <w:link w:val="Nagwek8Znak"/>
    <w:uiPriority w:val="9"/>
    <w:unhideWhenUsed/>
    <w:qFormat/>
    <w:pPr>
      <w:keepNext w:val="true"/>
      <w:keepLines/>
      <w:spacing w:before="0" w:after="0"/>
      <w:outlineLvl w:val="7"/>
    </w:pPr>
    <w:rPr>
      <w:rFonts w:ascii="Arial" w:hAnsi="Arial" w:eastAsia="Arial" w:cs="Arial"/>
      <w:i/>
      <w:iCs/>
      <w:color w:themeColor="text1" w:themeTint="d8" w:val="272727"/>
    </w:rPr>
  </w:style>
  <w:style w:type="paragraph" w:styleId="Heading9">
    <w:name w:val="heading 9"/>
    <w:basedOn w:val="Normal"/>
    <w:next w:val="Normal"/>
    <w:link w:val="Nagwek9Znak"/>
    <w:uiPriority w:val="9"/>
    <w:unhideWhenUsed/>
    <w:qFormat/>
    <w:pPr>
      <w:keepNext w:val="true"/>
      <w:keepLines/>
      <w:spacing w:before="0" w:after="0"/>
      <w:outlineLvl w:val="8"/>
    </w:pPr>
    <w:rPr>
      <w:rFonts w:ascii="Arial" w:hAnsi="Arial" w:eastAsia="Arial" w:cs="Arial"/>
      <w:i/>
      <w:iCs/>
      <w:color w:themeColor="text1" w:themeTint="d8" w:val="272727"/>
    </w:rPr>
  </w:style>
  <w:style w:type="character" w:styleId="DefaultParagraphFont" w:default="1">
    <w:name w:val="Default Paragraph Font"/>
    <w:uiPriority w:val="1"/>
    <w:unhideWhenUsed/>
    <w:qFormat/>
    <w:rPr/>
  </w:style>
  <w:style w:type="character" w:styleId="Heading1Char" w:customStyle="1">
    <w:name w:val="Heading 1 Char"/>
    <w:basedOn w:val="DefaultParagraphFont"/>
    <w:uiPriority w:val="9"/>
    <w:qFormat/>
    <w:rPr>
      <w:rFonts w:ascii="Arial" w:hAnsi="Arial" w:eastAsia="Arial" w:cs="Arial"/>
      <w:color w:themeColor="accent1" w:themeShade="bf" w:val="2F5496"/>
      <w:sz w:val="40"/>
      <w:szCs w:val="40"/>
    </w:rPr>
  </w:style>
  <w:style w:type="character" w:styleId="Nagwek2Znak" w:customStyle="1">
    <w:name w:val="Nagłówek 2 Znak"/>
    <w:basedOn w:val="DefaultParagraphFont"/>
    <w:uiPriority w:val="9"/>
    <w:qFormat/>
    <w:rPr>
      <w:rFonts w:ascii="Arial" w:hAnsi="Arial" w:eastAsia="Arial" w:cs="Arial"/>
      <w:color w:themeColor="accent1" w:themeShade="bf" w:val="2F5496"/>
      <w:sz w:val="32"/>
      <w:szCs w:val="32"/>
    </w:rPr>
  </w:style>
  <w:style w:type="character" w:styleId="Nagwek3Znak" w:customStyle="1">
    <w:name w:val="Nagłówek 3 Znak"/>
    <w:basedOn w:val="DefaultParagraphFont"/>
    <w:uiPriority w:val="9"/>
    <w:qFormat/>
    <w:rPr>
      <w:rFonts w:ascii="Arial" w:hAnsi="Arial" w:eastAsia="Arial" w:cs="Arial"/>
      <w:color w:themeColor="accent1" w:themeShade="bf" w:val="2F5496"/>
      <w:sz w:val="28"/>
      <w:szCs w:val="28"/>
    </w:rPr>
  </w:style>
  <w:style w:type="character" w:styleId="Nagwek4Znak" w:customStyle="1">
    <w:name w:val="Nagłówek 4 Znak"/>
    <w:basedOn w:val="DefaultParagraphFont"/>
    <w:uiPriority w:val="9"/>
    <w:qFormat/>
    <w:rPr>
      <w:rFonts w:ascii="Arial" w:hAnsi="Arial" w:eastAsia="Arial" w:cs="Arial"/>
      <w:i/>
      <w:iCs/>
      <w:color w:themeColor="accent1" w:themeShade="bf" w:val="2F5496"/>
    </w:rPr>
  </w:style>
  <w:style w:type="character" w:styleId="Nagwek5Znak" w:customStyle="1">
    <w:name w:val="Nagłówek 5 Znak"/>
    <w:basedOn w:val="DefaultParagraphFont"/>
    <w:uiPriority w:val="9"/>
    <w:qFormat/>
    <w:rPr>
      <w:rFonts w:ascii="Arial" w:hAnsi="Arial" w:eastAsia="Arial" w:cs="Arial"/>
      <w:color w:themeColor="accent1" w:themeShade="bf" w:val="2F5496"/>
    </w:rPr>
  </w:style>
  <w:style w:type="character" w:styleId="Nagwek6Znak" w:customStyle="1">
    <w:name w:val="Nagłówek 6 Znak"/>
    <w:basedOn w:val="DefaultParagraphFont"/>
    <w:uiPriority w:val="9"/>
    <w:qFormat/>
    <w:rPr>
      <w:rFonts w:ascii="Arial" w:hAnsi="Arial" w:eastAsia="Arial" w:cs="Arial"/>
      <w:i/>
      <w:iCs/>
      <w:color w:themeColor="text1" w:themeTint="a6" w:val="595959"/>
    </w:rPr>
  </w:style>
  <w:style w:type="character" w:styleId="Nagwek7Znak" w:customStyle="1">
    <w:name w:val="Nagłówek 7 Znak"/>
    <w:basedOn w:val="DefaultParagraphFont"/>
    <w:uiPriority w:val="9"/>
    <w:qFormat/>
    <w:rPr>
      <w:rFonts w:ascii="Arial" w:hAnsi="Arial" w:eastAsia="Arial" w:cs="Arial"/>
      <w:color w:themeColor="text1" w:themeTint="a6" w:val="595959"/>
    </w:rPr>
  </w:style>
  <w:style w:type="character" w:styleId="Nagwek8Znak" w:customStyle="1">
    <w:name w:val="Nagłówek 8 Znak"/>
    <w:basedOn w:val="DefaultParagraphFont"/>
    <w:uiPriority w:val="9"/>
    <w:qFormat/>
    <w:rPr>
      <w:rFonts w:ascii="Arial" w:hAnsi="Arial" w:eastAsia="Arial" w:cs="Arial"/>
      <w:i/>
      <w:iCs/>
      <w:color w:themeColor="text1" w:themeTint="d8" w:val="272727"/>
    </w:rPr>
  </w:style>
  <w:style w:type="character" w:styleId="Nagwek9Znak" w:customStyle="1">
    <w:name w:val="Nagłówek 9 Znak"/>
    <w:basedOn w:val="DefaultParagraphFont"/>
    <w:uiPriority w:val="9"/>
    <w:qFormat/>
    <w:rPr>
      <w:rFonts w:ascii="Arial" w:hAnsi="Arial" w:eastAsia="Arial" w:cs="Arial"/>
      <w:i/>
      <w:iCs/>
      <w:color w:themeColor="text1" w:themeTint="d8" w:val="272727"/>
    </w:rPr>
  </w:style>
  <w:style w:type="character" w:styleId="TytuZnak" w:customStyle="1">
    <w:name w:val="Tytuł Znak"/>
    <w:basedOn w:val="DefaultParagraphFont"/>
    <w:uiPriority w:val="10"/>
    <w:qFormat/>
    <w:rPr>
      <w:rFonts w:ascii="Arial" w:hAnsi="Arial" w:eastAsia="Arial" w:cs="Arial"/>
      <w:spacing w:val="-10"/>
      <w:sz w:val="56"/>
      <w:szCs w:val="56"/>
    </w:rPr>
  </w:style>
  <w:style w:type="character" w:styleId="PodtytuZnak" w:customStyle="1">
    <w:name w:val="Podtytuł Znak"/>
    <w:basedOn w:val="DefaultParagraphFont"/>
    <w:uiPriority w:val="11"/>
    <w:qFormat/>
    <w:rPr>
      <w:color w:themeColor="text1" w:themeTint="a6" w:val="595959"/>
      <w:spacing w:val="15"/>
      <w:sz w:val="28"/>
      <w:szCs w:val="28"/>
    </w:rPr>
  </w:style>
  <w:style w:type="character" w:styleId="QuoteChar" w:customStyle="1">
    <w:name w:val="Quote Char"/>
    <w:basedOn w:val="DefaultParagraphFont"/>
    <w:uiPriority w:val="29"/>
    <w:qFormat/>
    <w:rPr>
      <w:i/>
      <w:iCs/>
      <w:color w:themeColor="text1" w:themeTint="bf" w:val="404040"/>
    </w:rPr>
  </w:style>
  <w:style w:type="character" w:styleId="IntenseEmphasis">
    <w:name w:val="Intense Emphasis"/>
    <w:basedOn w:val="DefaultParagraphFont"/>
    <w:uiPriority w:val="21"/>
    <w:qFormat/>
    <w:rPr>
      <w:i/>
      <w:iCs/>
      <w:color w:themeColor="accent1" w:themeShade="bf" w:val="2F5496"/>
    </w:rPr>
  </w:style>
  <w:style w:type="character" w:styleId="CytatintensywnyZnak" w:customStyle="1">
    <w:name w:val="Cytat intensywny Znak"/>
    <w:basedOn w:val="DefaultParagraphFont"/>
    <w:link w:val="IntenseQuote"/>
    <w:uiPriority w:val="30"/>
    <w:qFormat/>
    <w:rPr>
      <w:i/>
      <w:iCs/>
      <w:color w:themeColor="accent1" w:themeShade="bf" w:val="2F5496"/>
    </w:rPr>
  </w:style>
  <w:style w:type="character" w:styleId="IntenseReference">
    <w:name w:val="Intense Reference"/>
    <w:basedOn w:val="DefaultParagraphFont"/>
    <w:uiPriority w:val="32"/>
    <w:qFormat/>
    <w:rPr>
      <w:b/>
      <w:bCs/>
      <w:smallCaps/>
      <w:color w:themeColor="accent1" w:themeShade="bf" w:val="2F5496"/>
      <w:spacing w:val="5"/>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TekstprzypisudolnegoZnak" w:customStyle="1">
    <w:name w:val="Tekst przypisu dolnego Znak"/>
    <w:basedOn w:val="DefaultParagraphFont"/>
    <w:uiPriority w:val="99"/>
    <w:semiHidden/>
    <w:qFormat/>
    <w:rPr>
      <w:sz w:val="20"/>
      <w:szCs w:val="20"/>
    </w:rPr>
  </w:style>
  <w:style w:type="character" w:styleId="Znakiprzypiswdolnych">
    <w:name w:val="Znaki przypisów dolnych"/>
    <w:basedOn w:val="DefaultParagraphFont"/>
    <w:uiPriority w:val="99"/>
    <w:semiHidden/>
    <w:unhideWhenUsed/>
    <w:qFormat/>
    <w:rPr>
      <w:vertAlign w:val="superscript"/>
    </w:rPr>
  </w:style>
  <w:style w:type="character" w:styleId="FootnoteReference">
    <w:name w:val="footnote reference"/>
    <w:rPr>
      <w:vertAlign w:val="superscript"/>
    </w:rPr>
  </w:style>
  <w:style w:type="character" w:styleId="EndnoteTextChar" w:customStyle="1">
    <w:name w:val="Endnote Text Char"/>
    <w:basedOn w:val="DefaultParagraphFont"/>
    <w:uiPriority w:val="99"/>
    <w:semiHidden/>
    <w:qFormat/>
    <w:rPr>
      <w:sz w:val="20"/>
      <w:szCs w:val="20"/>
    </w:rPr>
  </w:style>
  <w:style w:type="character" w:styleId="FollowedHyperlink">
    <w:name w:val="FollowedHyperlink"/>
    <w:basedOn w:val="DefaultParagraphFont"/>
    <w:uiPriority w:val="99"/>
    <w:semiHidden/>
    <w:unhideWhenUsed/>
    <w:rPr>
      <w:color w:themeColor="followedHyperlink" w:val="954F72"/>
      <w:u w:val="single"/>
    </w:rPr>
  </w:style>
  <w:style w:type="character" w:styleId="PlaceholderText">
    <w:name w:val="Placeholder Text"/>
    <w:basedOn w:val="DefaultParagraphFont"/>
    <w:uiPriority w:val="99"/>
    <w:semiHidden/>
    <w:qFormat/>
    <w:rPr>
      <w:color w:val="666666"/>
    </w:rPr>
  </w:style>
  <w:style w:type="character" w:styleId="TekstpodstawowywcityZnak" w:customStyle="1">
    <w:name w:val="Tekst podstawowy wcięty Znak"/>
    <w:basedOn w:val="DefaultParagraphFont"/>
    <w:semiHidden/>
    <w:qFormat/>
    <w:rPr>
      <w:rFonts w:ascii="Arial" w:hAnsi="Arial" w:eastAsia="Times New Roman" w:cs="Times New Roman"/>
      <w:sz w:val="24"/>
      <w:szCs w:val="24"/>
      <w:lang w:eastAsia="pl-PL"/>
    </w:rPr>
  </w:style>
  <w:style w:type="character" w:styleId="NagwekZnak" w:customStyle="1">
    <w:name w:val="Nagłówek Znak"/>
    <w:basedOn w:val="DefaultParagraphFont"/>
    <w:qFormat/>
    <w:rPr>
      <w:rFonts w:ascii="Arial" w:hAnsi="Arial" w:eastAsia="Times New Roman" w:cs="Times New Roman"/>
      <w:sz w:val="24"/>
      <w:szCs w:val="24"/>
    </w:rPr>
  </w:style>
  <w:style w:type="character" w:styleId="StopkaZnak" w:customStyle="1">
    <w:name w:val="Stopka Znak"/>
    <w:basedOn w:val="DefaultParagraphFont"/>
    <w:uiPriority w:val="99"/>
    <w:qFormat/>
    <w:rPr>
      <w:rFonts w:ascii="Arial" w:hAnsi="Arial" w:eastAsia="Times New Roman" w:cs="Times New Roman"/>
      <w:sz w:val="24"/>
      <w:szCs w:val="24"/>
    </w:rPr>
  </w:style>
  <w:style w:type="character" w:styleId="TekstprzypisukocowegoZnak" w:customStyle="1">
    <w:name w:val="Tekst przypisu końcowego Znak"/>
    <w:basedOn w:val="DefaultParagraphFont"/>
    <w:qFormat/>
    <w:rPr>
      <w:rFonts w:ascii="Arial" w:hAnsi="Arial" w:eastAsia="Times New Roman" w:cs="Times New Roman"/>
      <w:sz w:val="20"/>
      <w:szCs w:val="20"/>
    </w:rPr>
  </w:style>
  <w:style w:type="character" w:styleId="Znakiprzypiswkocowych">
    <w:name w:val="Znaki przypisów końcowych"/>
    <w:qFormat/>
    <w:rPr>
      <w:vertAlign w:val="superscript"/>
    </w:rPr>
  </w:style>
  <w:style w:type="character" w:styleId="EndnoteReference">
    <w:name w:val="endnote reference"/>
    <w:rPr>
      <w:vertAlign w:val="superscript"/>
    </w:rPr>
  </w:style>
  <w:style w:type="character" w:styleId="TekstpodstawowyZnak" w:customStyle="1">
    <w:name w:val="Tekst podstawowy Znak"/>
    <w:basedOn w:val="DefaultParagraphFont"/>
    <w:qFormat/>
    <w:rPr>
      <w:rFonts w:ascii="Arial" w:hAnsi="Arial" w:eastAsia="Times New Roman" w:cs="Times New Roman"/>
      <w:sz w:val="24"/>
      <w:szCs w:val="24"/>
    </w:rPr>
  </w:style>
  <w:style w:type="character" w:styleId="TekstdymkaZnak" w:customStyle="1">
    <w:name w:val="Tekst dymka Znak"/>
    <w:basedOn w:val="DefaultParagraphFont"/>
    <w:link w:val="BalloonText"/>
    <w:qFormat/>
    <w:rPr>
      <w:rFonts w:ascii="Tahoma" w:hAnsi="Tahoma" w:eastAsia="Times New Roman" w:cs="Times New Roman"/>
      <w:sz w:val="16"/>
      <w:szCs w:val="16"/>
    </w:rPr>
  </w:style>
  <w:style w:type="character" w:styleId="Hyperlink">
    <w:name w:val="Hyperlink"/>
    <w:rPr>
      <w:color w:val="000000"/>
      <w:u w:val="single"/>
    </w:rPr>
  </w:style>
  <w:style w:type="character" w:styleId="markedcontent" w:customStyle="1">
    <w:name w:val="markedcontent"/>
    <w:basedOn w:val="DefaultParagraphFont"/>
    <w:qFormat/>
    <w:rPr/>
  </w:style>
  <w:style w:type="character" w:styleId="CytatZnak" w:customStyle="1">
    <w:name w:val="Cytat Znak"/>
    <w:basedOn w:val="DefaultParagraphFont"/>
    <w:link w:val="Quote"/>
    <w:uiPriority w:val="29"/>
    <w:qFormat/>
    <w:rPr>
      <w:i/>
      <w:iCs/>
      <w:color w:themeColor="text1" w:val="000000"/>
    </w:rPr>
  </w:style>
  <w:style w:type="character" w:styleId="CommentReference">
    <w:name w:val="annotation reference"/>
    <w:basedOn w:val="DefaultParagraphFont"/>
    <w:uiPriority w:val="99"/>
    <w:semiHidden/>
    <w:unhideWhenUsed/>
    <w:qFormat/>
    <w:rPr>
      <w:sz w:val="16"/>
      <w:szCs w:val="16"/>
    </w:rPr>
  </w:style>
  <w:style w:type="character" w:styleId="TekstkomentarzaZnak" w:customStyle="1">
    <w:name w:val="Tekst komentarza Znak"/>
    <w:basedOn w:val="DefaultParagraphFont"/>
    <w:link w:val="CommentText"/>
    <w:uiPriority w:val="99"/>
    <w:semiHidden/>
    <w:qFormat/>
    <w:rPr>
      <w:sz w:val="20"/>
      <w:szCs w:val="20"/>
    </w:rPr>
  </w:style>
  <w:style w:type="character" w:styleId="TematkomentarzaZnak" w:customStyle="1">
    <w:name w:val="Temat komentarza Znak"/>
    <w:basedOn w:val="TekstkomentarzaZnak"/>
    <w:link w:val="annotationsubject"/>
    <w:uiPriority w:val="99"/>
    <w:semiHidden/>
    <w:qFormat/>
    <w:rPr>
      <w:b/>
      <w:bCs/>
      <w:sz w:val="20"/>
      <w:szCs w:val="20"/>
    </w:rPr>
  </w:style>
  <w:style w:type="character" w:styleId="Nagwek1Znak" w:customStyle="1">
    <w:name w:val="Nagłówek 1 Znak"/>
    <w:basedOn w:val="DefaultParagraphFont"/>
    <w:uiPriority w:val="1"/>
    <w:qFormat/>
    <w:rPr>
      <w:rFonts w:ascii="Times New Roman" w:hAnsi="Times New Roman" w:eastAsia="Times New Roman" w:cs="Times New Roman"/>
      <w:b/>
      <w:bCs/>
    </w:rPr>
  </w:style>
  <w:style w:type="character" w:styleId="SubtleEmphasis">
    <w:name w:val="Subtle Emphasis"/>
    <w:basedOn w:val="DefaultParagraphFont"/>
    <w:uiPriority w:val="19"/>
    <w:qFormat/>
    <w:rPr>
      <w:i/>
      <w:iCs/>
      <w:color w:themeColor="text1" w:themeTint="7f" w:val="808080"/>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TekstpodstawowyZnak"/>
    <w:pPr>
      <w:spacing w:lineRule="auto" w:line="240" w:before="0" w:after="120"/>
    </w:pPr>
    <w:rPr>
      <w:rFonts w:ascii="Arial" w:hAnsi="Arial" w:eastAsia="Times New Roman" w:cs="Times New Roman"/>
      <w:sz w:val="24"/>
      <w:szCs w:val="24"/>
    </w:rPr>
  </w:style>
  <w:style w:type="paragraph" w:styleId="List">
    <w:name w:val="List"/>
    <w:basedOn w:val="BodyText"/>
    <w:pPr/>
    <w:rPr>
      <w:rFonts w:cs="Lucida Sans"/>
    </w:rPr>
  </w:style>
  <w:style w:type="paragraph" w:styleId="Caption">
    <w:name w:val="caption"/>
    <w:basedOn w:val="Normal"/>
    <w:next w:val="Normal"/>
    <w:uiPriority w:val="35"/>
    <w:unhideWhenUsed/>
    <w:qFormat/>
    <w:pPr>
      <w:spacing w:lineRule="auto" w:line="240" w:before="0" w:after="200"/>
    </w:pPr>
    <w:rPr>
      <w:i/>
      <w:iCs/>
      <w:color w:themeColor="text2" w:val="44546A"/>
      <w:sz w:val="18"/>
      <w:szCs w:val="18"/>
    </w:rPr>
  </w:style>
  <w:style w:type="paragraph" w:styleId="Indeks">
    <w:name w:val="Indeks"/>
    <w:basedOn w:val="Normal"/>
    <w:qFormat/>
    <w:pPr>
      <w:suppressLineNumbers/>
    </w:pPr>
    <w:rPr>
      <w:rFonts w:cs="Lucida Sans"/>
    </w:rPr>
  </w:style>
  <w:style w:type="paragraph" w:styleId="Title">
    <w:name w:val="Title"/>
    <w:basedOn w:val="Normal"/>
    <w:next w:val="Normal"/>
    <w:link w:val="TytuZnak"/>
    <w:uiPriority w:val="10"/>
    <w:qFormat/>
    <w:pPr>
      <w:spacing w:lineRule="auto" w:line="240" w:before="0" w:after="80"/>
      <w:contextualSpacing/>
    </w:pPr>
    <w:rPr>
      <w:rFonts w:ascii="Arial" w:hAnsi="Arial" w:eastAsia="Arial" w:cs="Arial"/>
      <w:spacing w:val="-10"/>
      <w:sz w:val="56"/>
      <w:szCs w:val="56"/>
    </w:rPr>
  </w:style>
  <w:style w:type="paragraph" w:styleId="Subtitle">
    <w:name w:val="Subtitle"/>
    <w:basedOn w:val="Normal"/>
    <w:next w:val="Normal"/>
    <w:link w:val="PodtytuZnak"/>
    <w:uiPriority w:val="11"/>
    <w:qFormat/>
    <w:pPr/>
    <w:rPr>
      <w:color w:themeColor="text1" w:themeTint="a6" w:val="595959"/>
      <w:spacing w:val="15"/>
      <w:sz w:val="28"/>
      <w:szCs w:val="28"/>
    </w:rPr>
  </w:style>
  <w:style w:type="paragraph" w:styleId="IntenseQuote">
    <w:name w:val="Intense Quote"/>
    <w:basedOn w:val="Normal"/>
    <w:next w:val="Normal"/>
    <w:link w:val="CytatintensywnyZnak"/>
    <w:uiPriority w:val="30"/>
    <w:qFormat/>
    <w:pPr>
      <w:pBdr>
        <w:top w:val="single" w:sz="4" w:space="10" w:color="2F5496" w:themeColor="accent1" w:themeShade="bf"/>
        <w:bottom w:val="single" w:sz="4" w:space="10" w:color="2F5496" w:themeColor="accent1" w:themeShade="bf"/>
      </w:pBdr>
      <w:spacing w:before="360" w:after="360"/>
      <w:ind w:start="864" w:end="864"/>
      <w:jc w:val="center"/>
    </w:pPr>
    <w:rPr>
      <w:i/>
      <w:iCs/>
      <w:color w:themeColor="accent1" w:themeShade="bf" w:val="2F5496"/>
    </w:rPr>
  </w:style>
  <w:style w:type="paragraph" w:styleId="FootnoteText">
    <w:name w:val="footnote text"/>
    <w:basedOn w:val="Normal"/>
    <w:link w:val="TekstprzypisudolnegoZnak"/>
    <w:uiPriority w:val="99"/>
    <w:semiHidden/>
    <w:unhideWhenUsed/>
    <w:pPr>
      <w:spacing w:lineRule="auto" w:line="240" w:before="0" w:after="0"/>
    </w:pPr>
    <w:rPr>
      <w:sz w:val="20"/>
      <w:szCs w:val="20"/>
    </w:rPr>
  </w:style>
  <w:style w:type="paragraph" w:styleId="TOC1">
    <w:name w:val="toc 1"/>
    <w:basedOn w:val="Normal"/>
    <w:next w:val="Normal"/>
    <w:uiPriority w:val="39"/>
    <w:unhideWhenUsed/>
    <w:pPr>
      <w:spacing w:before="0" w:after="100"/>
    </w:pPr>
    <w:rPr/>
  </w:style>
  <w:style w:type="paragraph" w:styleId="TOC2">
    <w:name w:val="toc 2"/>
    <w:basedOn w:val="Normal"/>
    <w:next w:val="Normal"/>
    <w:uiPriority w:val="39"/>
    <w:unhideWhenUsed/>
    <w:pPr>
      <w:spacing w:before="0" w:after="100"/>
      <w:ind w:start="220"/>
    </w:pPr>
    <w:rPr/>
  </w:style>
  <w:style w:type="paragraph" w:styleId="TOC3">
    <w:name w:val="toc 3"/>
    <w:basedOn w:val="Normal"/>
    <w:next w:val="Normal"/>
    <w:uiPriority w:val="39"/>
    <w:unhideWhenUsed/>
    <w:pPr>
      <w:spacing w:before="0" w:after="100"/>
      <w:ind w:start="440"/>
    </w:pPr>
    <w:rPr/>
  </w:style>
  <w:style w:type="paragraph" w:styleId="TOC4">
    <w:name w:val="toc 4"/>
    <w:basedOn w:val="Normal"/>
    <w:next w:val="Normal"/>
    <w:uiPriority w:val="39"/>
    <w:unhideWhenUsed/>
    <w:pPr>
      <w:spacing w:before="0" w:after="100"/>
      <w:ind w:start="660"/>
    </w:pPr>
    <w:rPr/>
  </w:style>
  <w:style w:type="paragraph" w:styleId="TOC5">
    <w:name w:val="toc 5"/>
    <w:basedOn w:val="Normal"/>
    <w:next w:val="Normal"/>
    <w:uiPriority w:val="39"/>
    <w:unhideWhenUsed/>
    <w:pPr>
      <w:spacing w:before="0" w:after="100"/>
      <w:ind w:start="880"/>
    </w:pPr>
    <w:rPr/>
  </w:style>
  <w:style w:type="paragraph" w:styleId="TOC6">
    <w:name w:val="toc 6"/>
    <w:basedOn w:val="Normal"/>
    <w:next w:val="Normal"/>
    <w:uiPriority w:val="39"/>
    <w:unhideWhenUsed/>
    <w:pPr>
      <w:spacing w:before="0" w:after="100"/>
      <w:ind w:start="1100"/>
    </w:pPr>
    <w:rPr/>
  </w:style>
  <w:style w:type="paragraph" w:styleId="TOC7">
    <w:name w:val="toc 7"/>
    <w:basedOn w:val="Normal"/>
    <w:next w:val="Normal"/>
    <w:uiPriority w:val="39"/>
    <w:unhideWhenUsed/>
    <w:pPr>
      <w:spacing w:before="0" w:after="100"/>
      <w:ind w:start="1320"/>
    </w:pPr>
    <w:rPr/>
  </w:style>
  <w:style w:type="paragraph" w:styleId="TOC8">
    <w:name w:val="toc 8"/>
    <w:basedOn w:val="Normal"/>
    <w:next w:val="Normal"/>
    <w:uiPriority w:val="39"/>
    <w:unhideWhenUsed/>
    <w:pPr>
      <w:spacing w:before="0" w:after="100"/>
      <w:ind w:start="1540"/>
    </w:pPr>
    <w:rPr/>
  </w:style>
  <w:style w:type="paragraph" w:styleId="TOC9">
    <w:name w:val="toc 9"/>
    <w:basedOn w:val="Normal"/>
    <w:next w:val="Normal"/>
    <w:uiPriority w:val="39"/>
    <w:unhideWhenUsed/>
    <w:pPr>
      <w:spacing w:before="0" w:after="100"/>
      <w:ind w:start="1760"/>
    </w:pPr>
    <w:rPr/>
  </w:style>
  <w:style w:type="paragraph" w:styleId="IndexHeading">
    <w:name w:val="index heading"/>
    <w:basedOn w:val="Nagwek"/>
    <w:pPr/>
    <w:rPr/>
  </w:style>
  <w:style w:type="paragraph" w:styleId="TOCHeading">
    <w:name w:val="TOC Heading"/>
    <w:uiPriority w:val="39"/>
    <w:unhideWhenUsed/>
    <w:qFormat/>
    <w:pPr>
      <w:widowControl/>
      <w:bidi w:val="0"/>
      <w:spacing w:lineRule="auto" w:line="259" w:before="0" w:after="160"/>
      <w:jc w:val="start"/>
    </w:pPr>
    <w:rPr>
      <w:rFonts w:ascii="Calibri" w:hAnsi="Calibri" w:eastAsia="Calibri" w:cs="Arial" w:asciiTheme="minorHAnsi" w:cstheme="minorBidi" w:eastAsiaTheme="minorHAnsi" w:hAnsiTheme="minorHAnsi"/>
      <w:color w:val="auto"/>
      <w:kern w:val="0"/>
      <w:sz w:val="22"/>
      <w:szCs w:val="22"/>
      <w:lang w:val="pl-PL" w:eastAsia="en-US" w:bidi="ar-SA"/>
    </w:rPr>
  </w:style>
  <w:style w:type="paragraph" w:styleId="TableofFigures">
    <w:name w:val="table of figures"/>
    <w:basedOn w:val="Normal"/>
    <w:next w:val="Normal"/>
    <w:uiPriority w:val="99"/>
    <w:unhideWhenUsed/>
    <w:pPr>
      <w:spacing w:before="0" w:after="0"/>
    </w:pPr>
    <w:rPr/>
  </w:style>
  <w:style w:type="paragraph" w:styleId="BodyTextIndent">
    <w:name w:val="Body Text Indent"/>
    <w:basedOn w:val="Normal"/>
    <w:link w:val="TekstpodstawowywcityZnak"/>
    <w:semiHidden/>
    <w:pPr>
      <w:spacing w:lineRule="auto" w:line="240" w:before="0" w:after="0"/>
      <w:ind w:hanging="1620" w:start="1620"/>
    </w:pPr>
    <w:rPr>
      <w:rFonts w:ascii="Arial" w:hAnsi="Arial" w:eastAsia="Times New Roman" w:cs="Times New Roman"/>
      <w:sz w:val="24"/>
      <w:szCs w:val="24"/>
      <w:lang w:eastAsia="pl-PL"/>
    </w:rPr>
  </w:style>
  <w:style w:type="paragraph" w:styleId="xl56" w:customStyle="1">
    <w:name w:val="xl56"/>
    <w:basedOn w:val="Normal"/>
    <w:qFormat/>
    <w:pPr>
      <w:spacing w:lineRule="auto" w:line="240" w:beforeAutospacing="1" w:afterAutospacing="1"/>
      <w:jc w:val="center"/>
    </w:pPr>
    <w:rPr>
      <w:rFonts w:ascii="Arial Narrow" w:hAnsi="Arial Narrow" w:eastAsia="Arial Unicode MS" w:cs="Arial Unicode MS"/>
      <w:sz w:val="18"/>
      <w:szCs w:val="18"/>
      <w:lang w:eastAsia="pl-PL"/>
    </w:rPr>
  </w:style>
  <w:style w:type="paragraph" w:styleId="Standardowytekst" w:customStyle="1">
    <w:name w:val="Standardowy.tekst"/>
    <w:qFormat/>
    <w:pPr>
      <w:widowControl/>
      <w:bidi w:val="0"/>
      <w:spacing w:lineRule="auto" w:line="240" w:before="0" w:after="0"/>
      <w:jc w:val="both"/>
    </w:pPr>
    <w:rPr>
      <w:rFonts w:ascii="Arial" w:hAnsi="Arial" w:eastAsia="Times New Roman" w:cs="Times New Roman"/>
      <w:color w:val="auto"/>
      <w:kern w:val="0"/>
      <w:sz w:val="18"/>
      <w:szCs w:val="20"/>
      <w:lang w:eastAsia="pl-PL" w:val="pl-PL" w:bidi="ar-SA"/>
    </w:rPr>
  </w:style>
  <w:style w:type="paragraph" w:styleId="ListParagraph">
    <w:name w:val="List Paragraph"/>
    <w:basedOn w:val="Normal"/>
    <w:uiPriority w:val="34"/>
    <w:qFormat/>
    <w:pPr>
      <w:spacing w:lineRule="auto" w:line="240" w:before="0" w:after="0"/>
      <w:ind w:start="708"/>
    </w:pPr>
    <w:rPr>
      <w:rFonts w:ascii="Arial" w:hAnsi="Arial" w:eastAsia="Times New Roman" w:cs="Times New Roman"/>
      <w:sz w:val="24"/>
      <w:szCs w:val="24"/>
      <w:lang w:eastAsia="pl-PL"/>
    </w:rPr>
  </w:style>
  <w:style w:type="paragraph" w:styleId="NoSpacing">
    <w:name w:val="No Spacing"/>
    <w:qFormat/>
    <w:pPr>
      <w:widowControl/>
      <w:bidi w:val="0"/>
      <w:spacing w:lineRule="auto" w:line="240" w:before="0" w:after="0"/>
      <w:jc w:val="start"/>
    </w:pPr>
    <w:rPr>
      <w:rFonts w:ascii="Arial" w:hAnsi="Arial" w:eastAsia="Times New Roman" w:cs="Times New Roman"/>
      <w:color w:val="auto"/>
      <w:kern w:val="0"/>
      <w:sz w:val="24"/>
      <w:szCs w:val="24"/>
      <w:lang w:eastAsia="pl-PL" w:val="pl-PL" w:bidi="ar-SA"/>
    </w:rPr>
  </w:style>
  <w:style w:type="paragraph" w:styleId="Akapitzlist1" w:customStyle="1">
    <w:name w:val="Akapit z listą1"/>
    <w:basedOn w:val="Normal"/>
    <w:qFormat/>
    <w:pPr>
      <w:spacing w:lineRule="auto" w:line="276" w:before="0" w:after="200"/>
      <w:ind w:start="720"/>
      <w:contextualSpacing/>
    </w:pPr>
    <w:rPr>
      <w:rFonts w:ascii="Arial" w:hAnsi="Arial" w:eastAsia="Times New Roman" w:cs="Times New Roman"/>
    </w:rPr>
  </w:style>
  <w:style w:type="paragraph" w:styleId="content1" w:customStyle="1">
    <w:name w:val="content1"/>
    <w:basedOn w:val="Normal"/>
    <w:qFormat/>
    <w:pPr>
      <w:spacing w:lineRule="auto" w:line="240" w:before="0" w:after="0"/>
      <w:ind w:end="272"/>
    </w:pPr>
    <w:rPr>
      <w:rFonts w:ascii="Arial" w:hAnsi="Arial" w:eastAsia="Times New Roman" w:cs="Times New Roman"/>
      <w:sz w:val="24"/>
      <w:szCs w:val="24"/>
      <w:lang w:eastAsia="pl-PL"/>
    </w:rPr>
  </w:style>
  <w:style w:type="paragraph" w:styleId="Default" w:customStyle="1">
    <w:name w:val="Default"/>
    <w:qFormat/>
    <w:pPr>
      <w:widowControl/>
      <w:bidi w:val="0"/>
      <w:spacing w:lineRule="auto" w:line="240" w:before="0" w:after="0"/>
      <w:jc w:val="start"/>
    </w:pPr>
    <w:rPr>
      <w:rFonts w:ascii="Times New Roman" w:hAnsi="Times New Roman" w:eastAsia="Times New Roman" w:cs="Times New Roman"/>
      <w:color w:val="000000"/>
      <w:kern w:val="0"/>
      <w:sz w:val="24"/>
      <w:szCs w:val="24"/>
      <w:lang w:eastAsia="pl-PL" w:val="pl-PL" w:bidi="ar-SA"/>
    </w:rPr>
  </w:style>
  <w:style w:type="paragraph" w:styleId="NormalWeb">
    <w:name w:val="Normal (Web)"/>
    <w:basedOn w:val="Normal"/>
    <w:uiPriority w:val="99"/>
    <w:unhideWhenUsed/>
    <w:qFormat/>
    <w:pPr>
      <w:spacing w:lineRule="auto" w:line="240" w:beforeAutospacing="1" w:afterAutospacing="1"/>
    </w:pPr>
    <w:rPr>
      <w:rFonts w:ascii="Times New Roman" w:hAnsi="Times New Roman" w:eastAsia="Times New Roman" w:cs="Times New Roman"/>
      <w:sz w:val="24"/>
      <w:szCs w:val="24"/>
      <w:lang w:eastAsia="pl-PL"/>
    </w:rPr>
  </w:style>
  <w:style w:type="paragraph" w:styleId="Gwkaistopka">
    <w:name w:val="Główka i stopka"/>
    <w:basedOn w:val="Normal"/>
    <w:qFormat/>
    <w:pPr/>
    <w:rPr/>
  </w:style>
  <w:style w:type="paragraph" w:styleId="Header">
    <w:name w:val="header"/>
    <w:basedOn w:val="Normal"/>
    <w:link w:val="NagwekZnak"/>
    <w:pPr>
      <w:tabs>
        <w:tab w:val="clear" w:pos="709"/>
        <w:tab w:val="center" w:pos="4536" w:leader="none"/>
        <w:tab w:val="right" w:pos="9072" w:leader="none"/>
      </w:tabs>
      <w:spacing w:lineRule="auto" w:line="240" w:before="0" w:after="0"/>
    </w:pPr>
    <w:rPr>
      <w:rFonts w:ascii="Arial" w:hAnsi="Arial" w:eastAsia="Times New Roman" w:cs="Times New Roman"/>
      <w:sz w:val="24"/>
      <w:szCs w:val="24"/>
    </w:rPr>
  </w:style>
  <w:style w:type="paragraph" w:styleId="Footer">
    <w:name w:val="footer"/>
    <w:basedOn w:val="Normal"/>
    <w:link w:val="StopkaZnak"/>
    <w:uiPriority w:val="99"/>
    <w:pPr>
      <w:tabs>
        <w:tab w:val="clear" w:pos="709"/>
        <w:tab w:val="center" w:pos="4536" w:leader="none"/>
        <w:tab w:val="right" w:pos="9072" w:leader="none"/>
      </w:tabs>
      <w:spacing w:lineRule="auto" w:line="240" w:before="0" w:after="0"/>
    </w:pPr>
    <w:rPr>
      <w:rFonts w:ascii="Arial" w:hAnsi="Arial" w:eastAsia="Times New Roman" w:cs="Times New Roman"/>
      <w:sz w:val="24"/>
      <w:szCs w:val="24"/>
    </w:rPr>
  </w:style>
  <w:style w:type="paragraph" w:styleId="EndnoteText">
    <w:name w:val="endnote text"/>
    <w:basedOn w:val="Normal"/>
    <w:link w:val="TekstprzypisukocowegoZnak"/>
    <w:pPr>
      <w:spacing w:lineRule="auto" w:line="240" w:before="0" w:after="0"/>
    </w:pPr>
    <w:rPr>
      <w:rFonts w:ascii="Arial" w:hAnsi="Arial" w:eastAsia="Times New Roman" w:cs="Times New Roman"/>
      <w:sz w:val="20"/>
      <w:szCs w:val="20"/>
    </w:rPr>
  </w:style>
  <w:style w:type="paragraph" w:styleId="BalloonText">
    <w:name w:val="Balloon Text"/>
    <w:basedOn w:val="Normal"/>
    <w:link w:val="TekstdymkaZnak"/>
    <w:qFormat/>
    <w:pPr>
      <w:spacing w:lineRule="auto" w:line="240" w:before="0" w:after="0"/>
    </w:pPr>
    <w:rPr>
      <w:rFonts w:ascii="Tahoma" w:hAnsi="Tahoma" w:eastAsia="Times New Roman" w:cs="Times New Roman"/>
      <w:sz w:val="16"/>
      <w:szCs w:val="16"/>
    </w:rPr>
  </w:style>
  <w:style w:type="paragraph" w:styleId="Standard" w:customStyle="1">
    <w:name w:val="Standard"/>
    <w:qFormat/>
    <w:pPr>
      <w:widowControl/>
      <w:bidi w:val="0"/>
      <w:spacing w:lineRule="auto" w:line="240" w:before="0" w:after="0"/>
      <w:jc w:val="start"/>
    </w:pPr>
    <w:rPr>
      <w:rFonts w:ascii="Liberation Serif" w:hAnsi="Liberation Serif" w:eastAsia="SimSun" w:cs="Arial" w:cstheme="minorBidi"/>
      <w:color w:val="auto"/>
      <w:kern w:val="0"/>
      <w:sz w:val="24"/>
      <w:szCs w:val="24"/>
      <w:lang w:eastAsia="zh-CN" w:bidi="hi-IN" w:val="pl-PL"/>
    </w:rPr>
  </w:style>
  <w:style w:type="paragraph" w:styleId="Nagwek1" w:customStyle="1">
    <w:name w:val="Nagłówek1"/>
    <w:basedOn w:val="Normal"/>
    <w:next w:val="Normal"/>
    <w:qFormat/>
    <w:pPr>
      <w:pBdr>
        <w:bottom w:val="single" w:sz="8" w:space="4" w:color="4472C4"/>
      </w:pBdr>
      <w:spacing w:lineRule="auto" w:line="240" w:before="0" w:after="300"/>
      <w:contextualSpacing/>
    </w:pPr>
    <w:rPr>
      <w:rFonts w:ascii="Calibri Light" w:hAnsi="Calibri Light" w:eastAsia="Times New Roman" w:cs="Times New Roman"/>
      <w:color w:val="323E4F"/>
      <w:spacing w:val="5"/>
      <w:sz w:val="52"/>
      <w:szCs w:val="52"/>
      <w:lang w:eastAsia="zh-CN"/>
    </w:rPr>
  </w:style>
  <w:style w:type="paragraph" w:styleId="Quote">
    <w:name w:val="Quote"/>
    <w:basedOn w:val="Normal"/>
    <w:next w:val="Normal"/>
    <w:link w:val="CytatZnak"/>
    <w:uiPriority w:val="29"/>
    <w:qFormat/>
    <w:pPr>
      <w:spacing w:lineRule="auto" w:line="276" w:before="0" w:after="200"/>
    </w:pPr>
    <w:rPr>
      <w:i/>
      <w:iCs/>
      <w:color w:themeColor="text1" w:val="000000"/>
    </w:rPr>
  </w:style>
  <w:style w:type="paragraph" w:styleId="CommentText">
    <w:name w:val="annotation text"/>
    <w:basedOn w:val="Normal"/>
    <w:link w:val="TekstkomentarzaZnak"/>
    <w:uiPriority w:val="99"/>
    <w:semiHidden/>
    <w:unhideWhenUsed/>
    <w:pPr>
      <w:spacing w:lineRule="auto" w:line="240"/>
    </w:pPr>
    <w:rPr>
      <w:sz w:val="20"/>
      <w:szCs w:val="20"/>
    </w:rPr>
  </w:style>
  <w:style w:type="paragraph" w:styleId="annotationsubject">
    <w:name w:val="annotation subject"/>
    <w:basedOn w:val="CommentText"/>
    <w:next w:val="CommentText"/>
    <w:link w:val="TematkomentarzaZnak"/>
    <w:uiPriority w:val="99"/>
    <w:semiHidden/>
    <w:unhideWhenUsed/>
    <w:qFormat/>
    <w:pPr/>
    <w:rPr>
      <w:b/>
      <w:bCs/>
    </w:rPr>
  </w:style>
  <w:style w:type="paragraph" w:styleId="List3">
    <w:name w:val="List 3"/>
    <w:basedOn w:val="Normal"/>
    <w:uiPriority w:val="99"/>
    <w:semiHidden/>
    <w:unhideWhenUsed/>
    <w:qFormat/>
    <w:rsid w:val="009b5238"/>
    <w:pPr>
      <w:spacing w:before="0" w:after="160"/>
      <w:ind w:hanging="283" w:start="849"/>
      <w:contextualSpacing/>
    </w:pPr>
    <w:rPr/>
  </w:style>
  <w:style w:type="numbering" w:styleId="Bezlisty" w:default="1">
    <w:name w:val="Bez listy"/>
    <w:uiPriority w:val="99"/>
    <w:semiHidden/>
    <w:unhideWhenUsed/>
    <w:qFormat/>
  </w:style>
  <w:style w:type="numbering" w:styleId="Bezlisty1" w:customStyle="1">
    <w:name w:val="Bez listy1"/>
    <w:semiHidden/>
    <w:qFormat/>
  </w:style>
  <w:style w:type="numbering" w:styleId="WW8Num5" w:customStyle="1">
    <w:name w:val="WW8Num5"/>
    <w:qFormat/>
  </w:style>
  <w:style w:type="numbering" w:styleId="WW8Num10" w:customStyle="1">
    <w:name w:val="WW8Num10"/>
    <w:qFormat/>
  </w:style>
  <w:style w:type="numbering" w:styleId="WW8Num8" w:customStyle="1">
    <w:name w:val="WW8Num8"/>
    <w:qFormat/>
  </w:style>
  <w:style w:type="numbering" w:styleId="WW8Num7" w:customStyle="1">
    <w:name w:val="WW8Num7"/>
    <w:qFormat/>
  </w:style>
  <w:style w:type="numbering" w:styleId="WW8Num13" w:customStyle="1">
    <w:name w:val="WW8Num13"/>
    <w:qFormat/>
  </w:style>
  <w:style w:type="numbering" w:styleId="WW8Num16" w:customStyle="1">
    <w:name w:val="WW8Num16"/>
    <w:qFormat/>
  </w:style>
  <w:style w:type="numbering" w:styleId="WW8Num9" w:customStyle="1">
    <w:name w:val="WW8Num9"/>
    <w:qFormat/>
  </w:style>
  <w:style w:type="numbering" w:styleId="WW8Num17" w:customStyle="1">
    <w:name w:val="WW8Num17"/>
    <w:qFormat/>
  </w:style>
  <w:style w:type="numbering" w:styleId="WW8Num18" w:customStyle="1">
    <w:name w:val="WW8Num18"/>
    <w:qFormat/>
  </w:style>
  <w:style w:type="numbering" w:styleId="WW8Num21" w:customStyle="1">
    <w:name w:val="WW8Num21"/>
    <w:qFormat/>
  </w:style>
  <w:style w:type="numbering" w:styleId="WW8Num12" w:customStyle="1">
    <w:name w:val="WW8Num12"/>
    <w:qFormat/>
  </w:style>
  <w:style w:type="numbering" w:styleId="WW8Num161" w:customStyle="1">
    <w:name w:val="WW8Num161"/>
    <w:qFormat/>
  </w:style>
  <w:style w:type="numbering" w:styleId="WW8Num38" w:customStyle="1">
    <w:name w:val="WW8Num38"/>
    <w:qFormat/>
  </w:style>
  <w:style w:type="numbering" w:styleId="WW8Num25" w:customStyle="1">
    <w:name w:val="WW8Num25"/>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
    <w:name w:val="Table Grid Light"/>
    <w:basedOn w:val="Standardowy"/>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Zwykatabela1">
    <w:name w:val="Plain Table 1"/>
    <w:basedOn w:val="Standardowy"/>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Zwykatabela2">
    <w:name w:val="Plain Table 2"/>
    <w:basedOn w:val="Standardowy"/>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Zwykatabela3">
    <w:name w:val="Plain Table 3"/>
    <w:basedOn w:val="Standardowy"/>
    <w:uiPriority w:val="99"/>
    <w:pPr>
      <w:spacing w:after="0" w:line="240" w:lineRule="auto"/>
    </w:pPr>
    <w:tblPr>
      <w:tblStyleRowBandSize w:val="1"/>
      <w:tblStyleColBandSize w:val="1"/>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Zwykatabela4">
    <w:name w:val="Plain Table 4"/>
    <w:basedOn w:val="Standardowy"/>
    <w:uiPriority w:val="99"/>
    <w:pPr>
      <w:spacing w:after="0" w:line="240" w:lineRule="auto"/>
    </w:pPr>
    <w:tblPr>
      <w:tblStyleRowBandSize w:val="1"/>
      <w:tblStyleColBandSize w:val="1"/>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Zwykatabela5">
    <w:name w:val="Plain Table 5"/>
    <w:basedOn w:val="Standardowy"/>
    <w:uiPriority w:val="99"/>
    <w:pPr>
      <w:spacing w:after="0" w:line="240" w:lineRule="auto"/>
    </w:pPr>
    <w:tblPr>
      <w:tblStyleRowBandSize w:val="1"/>
      <w:tblStyleColBandSize w:val="1"/>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elasiatki1jasna">
    <w:name w:val="Grid Table 1 Light"/>
    <w:basedOn w:val="Standardowy"/>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rPr>
      <w:tblPr/>
      <w:tcPr>
        <w:tcBorders>
          <w:bottom w:val="single" w:color="6A6A6A"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
    <w:name w:val="Grid Table 1 Light - Accent 1"/>
    <w:basedOn w:val="Standardowy"/>
    <w:uiPriority w:val="99"/>
    <w:pPr>
      <w:spacing w:after="0" w:line="240" w:lineRule="auto"/>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firstRow">
      <w:rPr>
        <w:b/>
      </w:rPr>
      <w:tblPr/>
      <w:tcPr>
        <w:tcBorders>
          <w:bottom w:val="single" w:color="91ACDC" w:themeColor="accen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B3C5E7" w:themeColor="accent1" w:sz="4" w:space="0"/>
          <w:left w:val="single" w:color="B3C5E7" w:themeColor="accent1" w:sz="4" w:space="0"/>
          <w:bottom w:val="single" w:color="B3C5E7" w:themeColor="accent1" w:sz="4" w:space="0"/>
          <w:right w:val="single" w:color="B3C5E7" w:themeColor="accent1" w:sz="4" w:space="0"/>
        </w:tcBorders>
      </w:tcPr>
    </w:tblStylePr>
  </w:style>
  <w:style w:type="table" w:customStyle="1" w:styleId="GridTable1Light-Accent2">
    <w:name w:val="Grid Table 1 Light - Accent 2"/>
    <w:basedOn w:val="Standardowy"/>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rPr>
      <w:tblPr/>
      <w:tcPr>
        <w:tcBorders>
          <w:bottom w:val="single" w:color="F4B286" w:themeColor="accent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style>
  <w:style w:type="table" w:customStyle="1" w:styleId="GridTable1Light-Accent3">
    <w:name w:val="Grid Table 1 Light - Accent 3"/>
    <w:basedOn w:val="Standardowy"/>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rPr>
      <w:tblPr/>
      <w:tcPr>
        <w:tcBorders>
          <w:bottom w:val="single" w:color="CACACA" w:themeColor="accent3"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style>
  <w:style w:type="table" w:customStyle="1" w:styleId="GridTable1Light-Accent4">
    <w:name w:val="Grid Table 1 Light - Accent 4"/>
    <w:basedOn w:val="Standardowy"/>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b/>
      </w:rPr>
      <w:tblPr/>
      <w:tcPr>
        <w:tcBorders>
          <w:bottom w:val="single" w:color="FFDA6A" w:themeColor="accent4"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style>
  <w:style w:type="table" w:customStyle="1" w:styleId="GridTable1Light-Accent5">
    <w:name w:val="Grid Table 1 Light - Accent 5"/>
    <w:basedOn w:val="Standardowy"/>
    <w:uiPriority w:val="99"/>
    <w:pPr>
      <w:spacing w:after="0" w:line="240" w:lineRule="auto"/>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b/>
      </w:rPr>
      <w:tblPr/>
      <w:tcPr>
        <w:tcBorders>
          <w:bottom w:val="single" w:color="9EC4E6" w:themeColor="accent5"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BCD6EE" w:themeColor="accent5" w:sz="4" w:space="0"/>
          <w:left w:val="single" w:color="BCD6EE" w:themeColor="accent5" w:sz="4" w:space="0"/>
          <w:bottom w:val="single" w:color="BCD6EE" w:themeColor="accent5" w:sz="4" w:space="0"/>
          <w:right w:val="single" w:color="BCD6EE" w:themeColor="accent5" w:sz="4" w:space="0"/>
        </w:tcBorders>
      </w:tcPr>
    </w:tblStylePr>
  </w:style>
  <w:style w:type="table" w:customStyle="1" w:styleId="GridTable1Light-Accent6">
    <w:name w:val="Grid Table 1 Light - Accent 6"/>
    <w:basedOn w:val="Standardowy"/>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rPr>
      <w:tblPr/>
      <w:tcPr>
        <w:tcBorders>
          <w:bottom w:val="single" w:color="AAD190" w:themeColor="accent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style>
  <w:style w:type="table" w:styleId="Tabelasiatki2">
    <w:name w:val="Grid Table 2"/>
    <w:basedOn w:val="Standardowy"/>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Standardowy"/>
    <w:uiPriority w:val="99"/>
    <w:pPr>
      <w:spacing w:after="0" w:line="240" w:lineRule="auto"/>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rPr>
      <w:tblPr/>
      <w:tcPr>
        <w:tcBorders>
          <w:top w:val="none" w:color="000000" w:sz="4" w:space="0"/>
          <w:left w:val="none" w:color="000000" w:sz="4" w:space="0"/>
          <w:bottom w:val="single" w:color="537DC8" w:themeColor="accent1" w:sz="12" w:space="0"/>
          <w:right w:val="none" w:color="000000" w:sz="4" w:space="0"/>
        </w:tcBorders>
        <w:shd w:val="clear" w:color="FFFFFF" w:fill="auto"/>
      </w:tcPr>
    </w:tblStylePr>
    <w:tblStylePr w:type="lastRow">
      <w:rPr>
        <w:b/>
      </w:rPr>
      <w:tblPr/>
      <w:tcPr>
        <w:tcBorders>
          <w:top w:val="single" w:color="537DC8" w:themeColor="accen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8E2F3" w:fill="D8E2F3" w:themeFill="accent1" w:themeFillTint="34"/>
      </w:tcPr>
    </w:tblStylePr>
    <w:tblStylePr w:type="band1Horz">
      <w:rPr>
        <w:sz w:val="22"/>
      </w:rPr>
      <w:tblPr/>
      <w:tcPr>
        <w:shd w:val="clear" w:color="D8E2F3" w:fill="D8E2F3" w:themeFill="accent1" w:themeFillTint="34"/>
      </w:tcPr>
    </w:tblStylePr>
  </w:style>
  <w:style w:type="table" w:customStyle="1" w:styleId="GridTable2-Accent2">
    <w:name w:val="Grid Table 2 - Accent 2"/>
    <w:basedOn w:val="Standardowy"/>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rPr>
      <w:tblPr/>
      <w:tcPr>
        <w:tcBorders>
          <w:top w:val="none" w:color="000000" w:sz="4" w:space="0"/>
          <w:left w:val="none" w:color="000000" w:sz="4" w:space="0"/>
          <w:bottom w:val="single" w:color="F4B184" w:themeColor="accent2" w:sz="12" w:space="0"/>
          <w:right w:val="none" w:color="000000" w:sz="4" w:space="0"/>
        </w:tcBorders>
        <w:shd w:val="clear" w:color="FFFFFF" w:fill="auto"/>
      </w:tcPr>
    </w:tblStylePr>
    <w:tblStylePr w:type="lastRow">
      <w:rPr>
        <w:b/>
      </w:rPr>
      <w:tblPr/>
      <w:tcPr>
        <w:tcBorders>
          <w:top w:val="single" w:color="F4B184" w:themeColor="accent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
    <w:name w:val="Grid Table 2 - Accent 3"/>
    <w:basedOn w:val="Standardowy"/>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
    <w:name w:val="Grid Table 2 - Accent 4"/>
    <w:basedOn w:val="Standardowy"/>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rPr>
      <w:tblPr/>
      <w:tcPr>
        <w:tcBorders>
          <w:top w:val="none" w:color="000000" w:sz="4" w:space="0"/>
          <w:left w:val="none" w:color="000000" w:sz="4" w:space="0"/>
          <w:bottom w:val="single" w:color="FFD865" w:themeColor="accent4" w:sz="12" w:space="0"/>
          <w:right w:val="none" w:color="000000" w:sz="4" w:space="0"/>
        </w:tcBorders>
        <w:shd w:val="clear" w:color="FFFFFF" w:fill="auto"/>
      </w:tcPr>
    </w:tblStylePr>
    <w:tblStylePr w:type="lastRow">
      <w:rPr>
        <w:b/>
      </w:rPr>
      <w:tblPr/>
      <w:tcPr>
        <w:tcBorders>
          <w:top w:val="single" w:color="FFD865" w:themeColor="accent4"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
    <w:name w:val="Grid Table 2 - Accent 5"/>
    <w:basedOn w:val="Standardowy"/>
    <w:uiPriority w:val="99"/>
    <w:pPr>
      <w:spacing w:after="0" w:line="240" w:lineRule="auto"/>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firstRow">
      <w:rPr>
        <w:b/>
      </w:rPr>
      <w:tblPr/>
      <w:tcPr>
        <w:tcBorders>
          <w:top w:val="none" w:color="000000" w:sz="4" w:space="0"/>
          <w:left w:val="none" w:color="000000" w:sz="4" w:space="0"/>
          <w:bottom w:val="single" w:color="5B9BD5" w:themeColor="accent5" w:sz="12" w:space="0"/>
          <w:right w:val="none" w:color="000000" w:sz="4" w:space="0"/>
        </w:tcBorders>
        <w:shd w:val="clear" w:color="FFFFFF" w:fill="auto"/>
      </w:tcPr>
    </w:tblStylePr>
    <w:tblStylePr w:type="lastRow">
      <w:rPr>
        <w:b/>
      </w:rPr>
      <w:tblPr/>
      <w:tcPr>
        <w:tcBorders>
          <w:top w:val="single" w:color="5B9BD5" w:themeColor="accent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2-Accent6">
    <w:name w:val="Grid Table 2 - Accent 6"/>
    <w:basedOn w:val="Standardowy"/>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elasiatki3">
    <w:name w:val="Grid Table 3"/>
    <w:basedOn w:val="Standardowy"/>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Standardowy"/>
    <w:uiPriority w:val="99"/>
    <w:pPr>
      <w:spacing w:after="0" w:line="240" w:lineRule="auto"/>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8E2F3" w:fill="D8E2F3" w:themeFill="accent1" w:themeFillTint="34"/>
      </w:tcPr>
    </w:tblStylePr>
    <w:tblStylePr w:type="band1Horz">
      <w:rPr>
        <w:sz w:val="22"/>
      </w:rPr>
      <w:tblPr/>
      <w:tcPr>
        <w:shd w:val="clear" w:color="D8E2F3" w:fill="D8E2F3" w:themeFill="accent1" w:themeFillTint="34"/>
      </w:tcPr>
    </w:tblStylePr>
  </w:style>
  <w:style w:type="table" w:customStyle="1" w:styleId="GridTable3-Accent2">
    <w:name w:val="Grid Table 3 - Accent 2"/>
    <w:basedOn w:val="Standardowy"/>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
    <w:name w:val="Grid Table 3 - Accent 3"/>
    <w:basedOn w:val="Standardowy"/>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
    <w:name w:val="Grid Table 3 - Accent 4"/>
    <w:basedOn w:val="Standardowy"/>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
    <w:name w:val="Grid Table 3 - Accent 5"/>
    <w:basedOn w:val="Standardowy"/>
    <w:uiPriority w:val="99"/>
    <w:pPr>
      <w:spacing w:after="0" w:line="240" w:lineRule="auto"/>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3-Accent6">
    <w:name w:val="Grid Table 3 - Accent 6"/>
    <w:basedOn w:val="Standardowy"/>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elasiatki4">
    <w:name w:val="Grid Table 4"/>
    <w:basedOn w:val="Standardowy"/>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Standardowy"/>
    <w:uiPriority w:val="59"/>
    <w:pPr>
      <w:spacing w:after="0" w:line="240" w:lineRule="auto"/>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blStylePr w:type="firstRow">
      <w:rPr>
        <w:b/>
        <w:sz w:val="22"/>
      </w:rPr>
      <w:tblPr/>
      <w:tcPr>
        <w:tcBorders>
          <w:top w:val="single" w:color="537DC8" w:themeColor="accent1" w:sz="4" w:space="0"/>
          <w:left w:val="single" w:color="537DC8" w:themeColor="accent1" w:sz="4" w:space="0"/>
          <w:bottom w:val="single" w:color="537DC8" w:themeColor="accent1" w:sz="4" w:space="0"/>
          <w:right w:val="single" w:color="537DC8" w:themeColor="accent1" w:sz="4" w:space="0"/>
        </w:tcBorders>
        <w:shd w:val="clear" w:color="537DC8" w:fill="537DC8" w:themeFill="accent1" w:themeFillTint="ea"/>
      </w:tcPr>
    </w:tblStylePr>
    <w:tblStylePr w:type="lastRow">
      <w:rPr>
        <w:b/>
      </w:rPr>
      <w:tblPr/>
      <w:tcPr>
        <w:tcBorders>
          <w:top w:val="single" w:color="537DC8" w:themeColor="accent1" w:sz="4" w:space="0"/>
        </w:tcBorders>
      </w:tcPr>
    </w:tblStylePr>
    <w:tblStylePr w:type="firstCol">
      <w:rPr>
        <w:b/>
      </w:rPr>
      <w:tblPr/>
    </w:tblStylePr>
    <w:tblStylePr w:type="lastCol">
      <w:rPr>
        <w:b/>
      </w:rPr>
      <w:tblPr/>
    </w:tblStylePr>
    <w:tblStylePr w:type="band1Vert">
      <w:rPr>
        <w:sz w:val="22"/>
      </w:rPr>
      <w:tblPr/>
      <w:tcPr>
        <w:shd w:val="clear" w:color="DAE3F3" w:fill="DAE3F3" w:themeFill="accent1" w:themeFillTint="32"/>
      </w:tcPr>
    </w:tblStylePr>
    <w:tblStylePr w:type="band1Horz">
      <w:rPr>
        <w:sz w:val="22"/>
      </w:rPr>
      <w:tblPr/>
      <w:tcPr>
        <w:shd w:val="clear" w:color="DAE3F3" w:fill="DAE3F3" w:themeFill="accent1" w:themeFillTint="32"/>
      </w:tcPr>
    </w:tblStylePr>
  </w:style>
  <w:style w:type="table" w:customStyle="1" w:styleId="GridTable4-Accent2">
    <w:name w:val="Grid Table 4 - Accent 2"/>
    <w:basedOn w:val="Standardowy"/>
    <w:uiPriority w:val="5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b/>
        <w:sz w:val="22"/>
      </w:rPr>
      <w:tblPr/>
      <w:tcPr>
        <w:tcBorders>
          <w:top w:val="single" w:color="F4B184" w:themeColor="accent2" w:sz="4" w:space="0"/>
          <w:left w:val="single" w:color="F4B184" w:themeColor="accent2" w:sz="4" w:space="0"/>
          <w:bottom w:val="single" w:color="F4B184" w:themeColor="accent2" w:sz="4" w:space="0"/>
          <w:right w:val="single" w:color="F4B184" w:themeColor="accent2" w:sz="4" w:space="0"/>
        </w:tcBorders>
        <w:shd w:val="clear" w:color="F4B184" w:fill="F4B184" w:themeFill="accent2" w:themeFillTint="97"/>
      </w:tcPr>
    </w:tblStylePr>
    <w:tblStylePr w:type="lastRow">
      <w:rPr>
        <w:b/>
      </w:rPr>
      <w:tblPr/>
      <w:tcPr>
        <w:tcBorders>
          <w:top w:val="single" w:color="F4B184" w:themeColor="accent2" w:sz="4" w:space="0"/>
        </w:tcBorders>
      </w:tcPr>
    </w:tblStylePr>
    <w:tblStylePr w:type="firstCol">
      <w:rPr>
        <w:b/>
      </w:rPr>
      <w:tblPr/>
    </w:tblStylePr>
    <w:tblStylePr w:type="lastCol">
      <w:rPr>
        <w:b/>
      </w:rPr>
      <w:tbl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
    <w:name w:val="Grid Table 4 - Accent 3"/>
    <w:basedOn w:val="Standardowy"/>
    <w:uiPriority w:val="5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b/>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A5A5A5" w:fill="A5A5A5" w:themeFill="accent3" w:themeFillTint="fe"/>
      </w:tcPr>
    </w:tblStylePr>
    <w:tblStylePr w:type="lastRow">
      <w:rPr>
        <w:b/>
      </w:rPr>
      <w:tblPr/>
      <w:tcPr>
        <w:tcBorders>
          <w:top w:val="single" w:color="A5A5A5" w:themeColor="accent3" w:sz="4" w:space="0"/>
        </w:tcBorders>
      </w:tcPr>
    </w:tblStylePr>
    <w:tblStylePr w:type="firstCol">
      <w:rPr>
        <w:b/>
      </w:rPr>
      <w:tblPr/>
    </w:tblStylePr>
    <w:tblStylePr w:type="lastCol">
      <w:rPr>
        <w:b/>
      </w:rPr>
      <w:tbl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
    <w:name w:val="Grid Table 4 - Accent 4"/>
    <w:basedOn w:val="Standardowy"/>
    <w:uiPriority w:val="5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firstRow">
      <w:rPr>
        <w:b/>
        <w:sz w:val="22"/>
      </w:rPr>
      <w:tblPr/>
      <w:tcPr>
        <w:tcBorders>
          <w:top w:val="single" w:color="FFD865" w:themeColor="accent4" w:sz="4" w:space="0"/>
          <w:left w:val="single" w:color="FFD865" w:themeColor="accent4" w:sz="4" w:space="0"/>
          <w:bottom w:val="single" w:color="FFD865" w:themeColor="accent4" w:sz="4" w:space="0"/>
          <w:right w:val="single" w:color="FFD865" w:themeColor="accent4" w:sz="4" w:space="0"/>
        </w:tcBorders>
        <w:shd w:val="clear" w:color="FFD865" w:fill="FFD865" w:themeFill="accent4" w:themeFillTint="9a"/>
      </w:tcPr>
    </w:tblStylePr>
    <w:tblStylePr w:type="lastRow">
      <w:rPr>
        <w:b/>
      </w:rPr>
      <w:tblPr/>
      <w:tcPr>
        <w:tcBorders>
          <w:top w:val="single" w:color="FFD865" w:themeColor="accent4" w:sz="4" w:space="0"/>
        </w:tcBorders>
      </w:tcPr>
    </w:tblStylePr>
    <w:tblStylePr w:type="firstCol">
      <w:rPr>
        <w:b/>
      </w:rPr>
      <w:tblPr/>
    </w:tblStylePr>
    <w:tblStylePr w:type="lastCol">
      <w:rPr>
        <w:b/>
      </w:rPr>
      <w:tbl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
    <w:name w:val="Grid Table 4 - Accent 5"/>
    <w:basedOn w:val="Standardowy"/>
    <w:uiPriority w:val="59"/>
    <w:pPr>
      <w:spacing w:after="0" w:line="240" w:lineRule="auto"/>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b/>
        <w:sz w:val="22"/>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shd w:val="clear" w:color="5B9BD5" w:fill="5B9BD5" w:themeFill="accent5"/>
      </w:tcPr>
    </w:tblStylePr>
    <w:tblStylePr w:type="lastRow">
      <w:rPr>
        <w:b/>
      </w:rPr>
      <w:tblPr/>
      <w:tcPr>
        <w:tcBorders>
          <w:top w:val="single" w:color="5B9BD5" w:themeColor="accent5" w:sz="4" w:space="0"/>
        </w:tcBorders>
      </w:tcPr>
    </w:tblStylePr>
    <w:tblStylePr w:type="firstCol">
      <w:rPr>
        <w:b/>
      </w:rPr>
      <w:tblPr/>
    </w:tblStylePr>
    <w:tblStylePr w:type="lastCol">
      <w:rPr>
        <w:b/>
      </w:rPr>
      <w:tbl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4-Accent6">
    <w:name w:val="Grid Table 4 - Accent 6"/>
    <w:basedOn w:val="Standardowy"/>
    <w:uiPriority w:val="5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hemeFill="accent6"/>
      </w:tcPr>
    </w:tblStylePr>
    <w:tblStylePr w:type="lastRow">
      <w:rPr>
        <w:b/>
      </w:rPr>
      <w:tblPr/>
      <w:tcPr>
        <w:tcBorders>
          <w:top w:val="single" w:color="70AD47" w:themeColor="accent6" w:sz="4" w:space="0"/>
        </w:tcBorders>
      </w:tcPr>
    </w:tblStylePr>
    <w:tblStylePr w:type="firstCol">
      <w:rPr>
        <w:b/>
      </w:rPr>
      <w:tblPr/>
    </w:tblStylePr>
    <w:tblStylePr w:type="lastCol">
      <w:rPr>
        <w:b/>
      </w:rPr>
      <w:tbl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Tabelasiatki5ciemna">
    <w:name w:val="Grid Table 5 Dark"/>
    <w:basedOn w:val="Standardowy"/>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000000" w:fill="000000" w:themeFill="text1"/>
      </w:tcPr>
    </w:tblStylePr>
    <w:tblStylePr w:type="lastRow">
      <w:rPr>
        <w:b/>
        <w:sz w:val="22"/>
      </w:rPr>
      <w:tblPr/>
      <w:tcPr>
        <w:tcBorders>
          <w:top w:val="single" w:color="FFFFFF" w:themeColor="light1" w:sz="4" w:space="0"/>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Standardowy"/>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472C4" w:fill="4472C4" w:themeFill="accent1"/>
      </w:tcPr>
    </w:tblStylePr>
    <w:tblStylePr w:type="lastRow">
      <w:rPr>
        <w:b/>
        <w:sz w:val="22"/>
      </w:rPr>
      <w:tblPr/>
      <w:tcPr>
        <w:tcBorders>
          <w:top w:val="single" w:color="FFFFFF" w:themeColor="light1" w:sz="4" w:space="0"/>
        </w:tcBorders>
        <w:shd w:val="clear" w:color="4472C4" w:fill="4472C4" w:themeFill="accent1"/>
      </w:tcPr>
    </w:tblStylePr>
    <w:tblStylePr w:type="firstCol">
      <w:rPr>
        <w:b/>
        <w:sz w:val="22"/>
      </w:rPr>
      <w:tblPr/>
      <w:tcPr>
        <w:shd w:val="clear" w:color="4472C4" w:fill="4472C4" w:themeFill="accent1"/>
      </w:tcPr>
    </w:tblStylePr>
    <w:tblStylePr w:type="lastCol">
      <w:rPr>
        <w:b/>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
    <w:name w:val="Grid Table 5 Dark - Accent 2"/>
    <w:basedOn w:val="Standardowy"/>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ED7D31" w:fill="ED7D31" w:themeFill="accent2"/>
      </w:tcPr>
    </w:tblStylePr>
    <w:tblStylePr w:type="lastRow">
      <w:rPr>
        <w:b/>
        <w:sz w:val="22"/>
      </w:rPr>
      <w:tblPr/>
      <w:tcPr>
        <w:tcBorders>
          <w:top w:val="single" w:color="FFFFFF" w:themeColor="light1" w:sz="4" w:space="0"/>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Standardowy"/>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A5A5A5" w:fill="A5A5A5" w:themeFill="accent3"/>
      </w:tcPr>
    </w:tblStylePr>
    <w:tblStylePr w:type="lastRow">
      <w:rPr>
        <w:b/>
        <w:sz w:val="22"/>
      </w:rPr>
      <w:tblPr/>
      <w:tcPr>
        <w:tcBorders>
          <w:top w:val="single" w:color="FFFFFF" w:themeColor="light1" w:sz="4" w:space="0"/>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Standardowy"/>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C000" w:fill="FFC000" w:themeFill="accent4"/>
      </w:tcPr>
    </w:tblStylePr>
    <w:tblStylePr w:type="lastRow">
      <w:rPr>
        <w:b/>
        <w:sz w:val="22"/>
      </w:rPr>
      <w:tblPr/>
      <w:tcPr>
        <w:tcBorders>
          <w:top w:val="single" w:color="FFFFFF" w:themeColor="light1" w:sz="4" w:space="0"/>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Standardowy"/>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5B9BD5" w:fill="5B9BD5" w:themeFill="accent5"/>
      </w:tcPr>
    </w:tblStylePr>
    <w:tblStylePr w:type="lastRow">
      <w:rPr>
        <w:b/>
        <w:sz w:val="22"/>
      </w:rPr>
      <w:tblPr/>
      <w:tcPr>
        <w:tcBorders>
          <w:top w:val="single" w:color="FFFFFF" w:themeColor="light1" w:sz="4" w:space="0"/>
        </w:tcBorders>
        <w:shd w:val="clear" w:color="5B9BD5" w:fill="5B9BD5" w:themeFill="accent5"/>
      </w:tcPr>
    </w:tblStylePr>
    <w:tblStylePr w:type="firstCol">
      <w:rPr>
        <w:b/>
        <w:sz w:val="22"/>
      </w:rPr>
      <w:tblPr/>
      <w:tcPr>
        <w:shd w:val="clear" w:color="5B9BD5" w:fill="5B9BD5" w:themeFill="accent5"/>
      </w:tcPr>
    </w:tblStylePr>
    <w:tblStylePr w:type="lastCol">
      <w:rPr>
        <w:b/>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
    <w:name w:val="Grid Table 5 Dark - Accent 6"/>
    <w:basedOn w:val="Standardowy"/>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70AD47" w:fill="70AD47" w:themeFill="accent6"/>
      </w:tcPr>
    </w:tblStylePr>
    <w:tblStylePr w:type="lastRow">
      <w:rPr>
        <w:b/>
        <w:sz w:val="22"/>
      </w:rPr>
      <w:tblPr/>
      <w:tcPr>
        <w:tcBorders>
          <w:top w:val="single" w:color="FFFFFF" w:themeColor="light1" w:sz="4" w:space="0"/>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Tabelasiatki6kolorowa">
    <w:name w:val="Grid Table 6 Colorful"/>
    <w:basedOn w:val="Standardowy"/>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blPr/>
      <w:tcPr>
        <w:tcBorders>
          <w:bottom w:val="single" w:color="7F7F7F" w:themeColor="text1" w:sz="12" w:space="0"/>
        </w:tcBorders>
      </w:tcPr>
    </w:tblStylePr>
    <w:tblStylePr w:type="lastRow">
      <w:rPr>
        <w:b/>
        <w:color w:val="7f7f7f" w:themeColor="text1" w:themeTint="80" w:themeShade="95"/>
      </w:rPr>
      <w:tblPr/>
    </w:tblStylePr>
    <w:tblStylePr w:type="firstCol">
      <w:rPr>
        <w:b/>
        <w:color w:val="7f7f7f" w:themeColor="text1" w:themeTint="80" w:themeShade="95"/>
      </w:rPr>
      <w:tblPr/>
    </w:tblStylePr>
    <w:tblStylePr w:type="lastCol">
      <w:rPr>
        <w:b/>
        <w:color w:val="7f7f7f" w:themeColor="text1" w:themeTint="80" w:themeShade="95"/>
      </w:rPr>
      <w:tbl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Pr/>
    </w:tblStylePr>
  </w:style>
  <w:style w:type="table" w:customStyle="1" w:styleId="GridTable6Colorful-Accent1">
    <w:name w:val="Grid Table 6 Colorful - Accent 1"/>
    <w:basedOn w:val="Standardowy"/>
    <w:uiPriority w:val="99"/>
    <w:pPr>
      <w:spacing w:after="0" w:line="240" w:lineRule="auto"/>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firstRow">
      <w:rPr>
        <w:b/>
        <w:color w:val="a0b7e1" w:themeColor="accent1" w:themeTint="80" w:themeShade="95"/>
      </w:rPr>
      <w:tblPr/>
      <w:tcPr>
        <w:tcBorders>
          <w:bottom w:val="single" w:color="A0B7E1" w:themeColor="accent1" w:sz="12" w:space="0"/>
        </w:tcBorders>
      </w:tcPr>
    </w:tblStylePr>
    <w:tblStylePr w:type="lastRow">
      <w:rPr>
        <w:b/>
        <w:color w:val="a0b7e1" w:themeColor="accent1" w:themeTint="80" w:themeShade="95"/>
      </w:rPr>
      <w:tblPr/>
    </w:tblStylePr>
    <w:tblStylePr w:type="firstCol">
      <w:rPr>
        <w:b/>
        <w:color w:val="a0b7e1" w:themeColor="accent1" w:themeTint="80" w:themeShade="95"/>
      </w:rPr>
      <w:tblPr/>
    </w:tblStylePr>
    <w:tblStylePr w:type="lastCol">
      <w:rPr>
        <w:b/>
        <w:color w:val="a0b7e1" w:themeColor="accent1" w:themeTint="80" w:themeShade="95"/>
      </w:rPr>
      <w:tbl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Pr/>
    </w:tblStylePr>
  </w:style>
  <w:style w:type="table" w:customStyle="1" w:styleId="GridTable6Colorful-Accent2">
    <w:name w:val="Grid Table 6 Colorful - Accent 2"/>
    <w:basedOn w:val="Standardowy"/>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f4b184" w:themeColor="accent2" w:themeTint="97" w:themeShade="95"/>
      </w:rPr>
      <w:tblPr/>
      <w:tcPr>
        <w:tcBorders>
          <w:bottom w:val="single" w:color="F4B184" w:themeColor="accent2" w:sz="12" w:space="0"/>
        </w:tcBorders>
      </w:tcPr>
    </w:tblStylePr>
    <w:tblStylePr w:type="lastRow">
      <w:rPr>
        <w:b/>
        <w:color w:val="f4b184" w:themeColor="accent2" w:themeTint="97" w:themeShade="95"/>
      </w:rPr>
      <w:tblPr/>
    </w:tblStylePr>
    <w:tblStylePr w:type="firstCol">
      <w:rPr>
        <w:b/>
        <w:color w:val="f4b184" w:themeColor="accent2" w:themeTint="97" w:themeShade="95"/>
      </w:rPr>
      <w:tblPr/>
    </w:tblStylePr>
    <w:tblStylePr w:type="lastCol">
      <w:rPr>
        <w:b/>
        <w:color w:val="f4b184" w:themeColor="accent2" w:themeTint="97" w:themeShade="95"/>
      </w:rPr>
      <w:tbl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Pr/>
    </w:tblStylePr>
  </w:style>
  <w:style w:type="table" w:customStyle="1" w:styleId="GridTable6Colorful-Accent3">
    <w:name w:val="Grid Table 6 Colorful - Accent 3"/>
    <w:basedOn w:val="Standardowy"/>
    <w:uiPriority w:val="99"/>
    <w:pPr>
      <w:spacing w:after="0" w:line="240" w:lineRule="auto"/>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e" w:themeShade="95"/>
      </w:rPr>
      <w:tblPr/>
      <w:tcPr>
        <w:tcBorders>
          <w:bottom w:val="single" w:color="A5A5A5" w:themeColor="accent3" w:sz="12" w:space="0"/>
        </w:tcBorders>
      </w:tcPr>
    </w:tblStylePr>
    <w:tblStylePr w:type="lastRow">
      <w:rPr>
        <w:b/>
        <w:color w:val="a5a5a5" w:themeColor="accent3" w:themeTint="fe" w:themeShade="95"/>
      </w:rPr>
      <w:tblPr/>
    </w:tblStylePr>
    <w:tblStylePr w:type="firstCol">
      <w:rPr>
        <w:b/>
        <w:color w:val="a5a5a5" w:themeColor="accent3" w:themeTint="fe" w:themeShade="95"/>
      </w:rPr>
      <w:tblPr/>
    </w:tblStylePr>
    <w:tblStylePr w:type="lastCol">
      <w:rPr>
        <w:b/>
        <w:color w:val="a5a5a5" w:themeColor="accent3" w:themeTint="fe" w:themeShade="95"/>
      </w:rPr>
      <w:tbl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Pr/>
    </w:tblStylePr>
  </w:style>
  <w:style w:type="table" w:customStyle="1" w:styleId="GridTable6Colorful-Accent4">
    <w:name w:val="Grid Table 6 Colorful - Accent 4"/>
    <w:basedOn w:val="Standardowy"/>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ffd865" w:themeColor="accent4" w:themeTint="9a" w:themeShade="95"/>
      </w:rPr>
      <w:tblPr/>
      <w:tcPr>
        <w:tcBorders>
          <w:bottom w:val="single" w:color="FFD865" w:themeColor="accent4" w:sz="12" w:space="0"/>
        </w:tcBorders>
      </w:tcPr>
    </w:tblStylePr>
    <w:tblStylePr w:type="lastRow">
      <w:rPr>
        <w:b/>
        <w:color w:val="ffd865" w:themeColor="accent4" w:themeTint="9a" w:themeShade="95"/>
      </w:rPr>
      <w:tblPr/>
    </w:tblStylePr>
    <w:tblStylePr w:type="firstCol">
      <w:rPr>
        <w:b/>
        <w:color w:val="ffd865" w:themeColor="accent4" w:themeTint="9a" w:themeShade="95"/>
      </w:rPr>
      <w:tblPr/>
    </w:tblStylePr>
    <w:tblStylePr w:type="lastCol">
      <w:rPr>
        <w:b/>
        <w:color w:val="ffd865" w:themeColor="accent4" w:themeTint="9a" w:themeShade="95"/>
      </w:rPr>
      <w:tbl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Pr/>
    </w:tblStylePr>
  </w:style>
  <w:style w:type="table" w:customStyle="1" w:styleId="GridTable6Colorful-Accent5">
    <w:name w:val="Grid Table 6 Colorful - Accent 5"/>
    <w:basedOn w:val="Standardowy"/>
    <w:uiPriority w:val="99"/>
    <w:pPr>
      <w:spacing w:after="0" w:line="240" w:lineRule="auto"/>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firstRow">
      <w:rPr>
        <w:b/>
        <w:color w:val="245a8d" w:themeColor="accent5" w:themeShade="95"/>
      </w:rPr>
      <w:tblPr/>
      <w:tcPr>
        <w:tcBorders>
          <w:bottom w:val="single" w:color="5B9BD5" w:themeColor="accent5" w:sz="12" w:space="0"/>
        </w:tcBorders>
      </w:tcPr>
    </w:tblStylePr>
    <w:tblStylePr w:type="lastRow">
      <w:rPr>
        <w:b/>
        <w:color w:val="245a8d" w:themeColor="accent5" w:themeShade="95"/>
      </w:rPr>
      <w:tblPr/>
    </w:tblStylePr>
    <w:tblStylePr w:type="firstCol">
      <w:rPr>
        <w:b/>
        <w:color w:val="245a8d" w:themeColor="accent5" w:themeShade="95"/>
      </w:rPr>
      <w:tblPr/>
    </w:tblStylePr>
    <w:tblStylePr w:type="lastCol">
      <w:rPr>
        <w:b/>
        <w:color w:val="245a8d" w:themeColor="accent5" w:themeShade="95"/>
      </w:rPr>
      <w:tbl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Pr/>
    </w:tblStylePr>
  </w:style>
  <w:style w:type="table" w:customStyle="1" w:styleId="GridTable6Colorful-Accent6">
    <w:name w:val="Grid Table 6 Colorful - Accent 6"/>
    <w:basedOn w:val="Standardowy"/>
    <w:uiPriority w:val="99"/>
    <w:pPr>
      <w:spacing w:after="0" w:line="240" w:lineRule="auto"/>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45a8d" w:themeColor="accent5" w:themeShade="95"/>
      </w:rPr>
      <w:tblPr/>
      <w:tcPr>
        <w:tcBorders>
          <w:bottom w:val="single" w:color="70AD47" w:themeColor="accent6" w:sz="12" w:space="0"/>
        </w:tcBorders>
      </w:tcPr>
    </w:tblStylePr>
    <w:tblStylePr w:type="lastRow">
      <w:rPr>
        <w:b/>
        <w:color w:val="245a8d" w:themeColor="accent5" w:themeShade="95"/>
      </w:rPr>
      <w:tblPr/>
    </w:tblStylePr>
    <w:tblStylePr w:type="firstCol">
      <w:rPr>
        <w:b/>
        <w:color w:val="245a8d" w:themeColor="accent5" w:themeShade="95"/>
      </w:rPr>
      <w:tblPr/>
    </w:tblStylePr>
    <w:tblStylePr w:type="lastCol">
      <w:rPr>
        <w:b/>
        <w:color w:val="245a8d" w:themeColor="accent5" w:themeShade="95"/>
      </w:rPr>
      <w:tblPr/>
    </w:tblStylePr>
    <w:tblStylePr w:type="band1Vert">
      <w:tblPr/>
      <w:tcPr>
        <w:shd w:val="clear" w:color="E1EFD8" w:fill="E1EFD8" w:themeFill="accent6" w:themeFillTint="34"/>
      </w:tcPr>
    </w:tblStylePr>
    <w:tblStylePr w:type="band1Horz">
      <w:rPr>
        <w:color w:val="245a8d" w:themeColor="accent5" w:themeShade="95"/>
        <w:sz w:val="22"/>
      </w:rPr>
      <w:tblPr/>
      <w:tcPr>
        <w:shd w:val="clear" w:color="E1EFD8" w:fill="E1EFD8" w:themeFill="accent6" w:themeFillTint="34"/>
      </w:tcPr>
    </w:tblStylePr>
    <w:tblStylePr w:type="band2Horz">
      <w:rPr>
        <w:color w:val="245a8d" w:themeColor="accent5" w:themeShade="95"/>
        <w:sz w:val="22"/>
      </w:rPr>
      <w:tblPr/>
    </w:tblStylePr>
  </w:style>
  <w:style w:type="table" w:styleId="Tabelasiatki7kolorowa">
    <w:name w:val="Grid Table 7 Colorful"/>
    <w:basedOn w:val="Standardowy"/>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b/>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F2F2F2" w:fill="F2F2F2" w:themeFill="text1" w:themeFillTint="d"/>
      </w:tcPr>
    </w:tblStylePr>
    <w:tblStylePr w:type="band1Horz">
      <w:rPr>
        <w:color w:val="7f7f7f" w:themeColor="text1" w:themeTint="80" w:themeShade="95"/>
        <w:sz w:val="22"/>
      </w:rPr>
      <w:tblPr/>
      <w:tcPr>
        <w:shd w:val="clear" w:color="F2F2F2" w:fill="F2F2F2" w:themeFill="text1" w:themeFillTint="d"/>
      </w:tcPr>
    </w:tblStylePr>
    <w:tblStylePr w:type="band2Horz">
      <w:rPr>
        <w:color w:val="7f7f7f" w:themeColor="text1" w:themeTint="80" w:themeShade="95"/>
        <w:sz w:val="22"/>
      </w:rPr>
      <w:tblPr/>
    </w:tblStylePr>
  </w:style>
  <w:style w:type="table" w:customStyle="1" w:styleId="GridTable7Colorful-Accent1">
    <w:name w:val="Grid Table 7 Colorful - Accent 1"/>
    <w:basedOn w:val="Standardowy"/>
    <w:uiPriority w:val="99"/>
    <w:pPr>
      <w:spacing w:after="0" w:line="240" w:lineRule="auto"/>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firstRow">
      <w:rPr>
        <w:b/>
        <w:color w:val="a0b7e1" w:themeColor="accent1" w:themeTint="80" w:themeShade="95"/>
        <w:sz w:val="22"/>
      </w:rPr>
      <w:tblPr/>
      <w:tcPr>
        <w:tcBorders>
          <w:top w:val="none" w:color="auto" w:sz="0" w:space="0"/>
          <w:left w:val="none" w:color="auto" w:sz="0" w:space="0"/>
          <w:bottom w:val="single" w:color="A0B7E1" w:themeColor="accent1" w:sz="4" w:space="0"/>
          <w:right w:val="none" w:color="auto" w:sz="0" w:space="0"/>
        </w:tcBorders>
        <w:shd w:val="clear" w:color="FFFFFF" w:fill="FFFFFF" w:themeFill="light1"/>
      </w:tcPr>
    </w:tblStylePr>
    <w:tblStylePr w:type="lastRow">
      <w:rPr>
        <w:b/>
        <w:color w:val="a0b7e1" w:themeColor="accent1" w:themeTint="80" w:themeShade="95"/>
        <w:sz w:val="22"/>
      </w:rPr>
      <w:tblPr/>
      <w:tcPr>
        <w:tcBorders>
          <w:top w:val="single" w:color="A0B7E1"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a0b7e1" w:themeColor="accent1" w:themeTint="80" w:themeShade="95"/>
        <w:sz w:val="22"/>
      </w:rPr>
      <w:tblPr/>
      <w:tcPr>
        <w:tcBorders>
          <w:top w:val="none" w:color="auto" w:sz="0" w:space="0"/>
          <w:left w:val="none" w:color="auto" w:sz="0" w:space="0"/>
          <w:bottom w:val="none" w:color="auto" w:sz="0" w:space="0"/>
          <w:right w:val="single" w:color="A0B7E1" w:themeColor="accent1" w:sz="4" w:space="0"/>
        </w:tcBorders>
        <w:shd w:val="clear" w:color="FFFFFF" w:fill="auto"/>
      </w:tcPr>
    </w:tblStylePr>
    <w:tblStylePr w:type="lastCol">
      <w:rPr>
        <w:i/>
        <w:color w:val="a0b7e1" w:themeColor="accent1" w:themeTint="80" w:themeShade="95"/>
        <w:sz w:val="22"/>
      </w:rPr>
      <w:tblPr/>
      <w:tcPr>
        <w:tcBorders>
          <w:top w:val="none" w:color="auto" w:sz="0" w:space="0"/>
          <w:left w:val="single" w:color="A0B7E1" w:themeColor="accent1" w:sz="4" w:space="0"/>
          <w:bottom w:val="none" w:color="auto" w:sz="0" w:space="0"/>
          <w:right w:val="none" w:color="auto" w:sz="0" w:space="0"/>
        </w:tcBorders>
        <w:shd w:val="clear" w:color="FFFFFF" w:fill="auto"/>
      </w:tc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Pr/>
    </w:tblStylePr>
  </w:style>
  <w:style w:type="table" w:customStyle="1" w:styleId="GridTable7Colorful-Accent2">
    <w:name w:val="Grid Table 7 Colorful - Accent 2"/>
    <w:basedOn w:val="Standardowy"/>
    <w:uiPriority w:val="99"/>
    <w:pPr>
      <w:spacing w:after="0" w:line="240" w:lineRule="auto"/>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f4b184" w:themeColor="accent2" w:themeTint="97" w:themeShade="95"/>
        <w:sz w:val="22"/>
      </w:rPr>
      <w:tblPr/>
      <w:tcPr>
        <w:tcBorders>
          <w:top w:val="none" w:color="auto" w:sz="0" w:space="0"/>
          <w:left w:val="none" w:color="auto" w:sz="0" w:space="0"/>
          <w:bottom w:val="single" w:color="F4B184" w:themeColor="accent2" w:sz="4" w:space="0"/>
          <w:right w:val="none" w:color="auto" w:sz="0" w:space="0"/>
        </w:tcBorders>
        <w:shd w:val="clear" w:color="FFFFFF" w:fill="FFFFFF" w:themeFill="light1"/>
      </w:tcPr>
    </w:tblStylePr>
    <w:tblStylePr w:type="lastRow">
      <w:rPr>
        <w:b/>
        <w:color w:val="f4b184" w:themeColor="accent2" w:themeTint="97" w:themeShade="95"/>
        <w:sz w:val="22"/>
      </w:rPr>
      <w:tblPr/>
      <w:tcPr>
        <w:tcBorders>
          <w:top w:val="single" w:color="F4B184"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f4b184" w:themeColor="accent2" w:themeTint="97" w:themeShade="95"/>
        <w:sz w:val="22"/>
      </w:rPr>
      <w:tblPr/>
      <w:tcPr>
        <w:tcBorders>
          <w:top w:val="none" w:color="auto" w:sz="0" w:space="0"/>
          <w:left w:val="none" w:color="auto" w:sz="0" w:space="0"/>
          <w:bottom w:val="none" w:color="auto" w:sz="0" w:space="0"/>
          <w:right w:val="single" w:color="F4B184" w:themeColor="accent2" w:sz="4" w:space="0"/>
        </w:tcBorders>
        <w:shd w:val="clear" w:color="FFFFFF" w:fill="auto"/>
      </w:tcPr>
    </w:tblStylePr>
    <w:tblStylePr w:type="lastCol">
      <w:rPr>
        <w:i/>
        <w:color w:val="f4b184" w:themeColor="accent2" w:themeTint="97" w:themeShade="95"/>
        <w:sz w:val="22"/>
      </w:rPr>
      <w:tblPr/>
      <w:tcPr>
        <w:tcBorders>
          <w:top w:val="none" w:color="auto" w:sz="0" w:space="0"/>
          <w:left w:val="single" w:color="F4B184" w:themeColor="accent2" w:sz="4" w:space="0"/>
          <w:bottom w:val="none" w:color="auto" w:sz="0" w:space="0"/>
          <w:right w:val="none" w:color="auto" w:sz="0" w:space="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Pr/>
    </w:tblStylePr>
  </w:style>
  <w:style w:type="table" w:customStyle="1" w:styleId="GridTable7Colorful-Accent3">
    <w:name w:val="Grid Table 7 Colorful - Accent 3"/>
    <w:basedOn w:val="Standardowy"/>
    <w:uiPriority w:val="99"/>
    <w:pPr>
      <w:spacing w:after="0" w:line="240" w:lineRule="auto"/>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e" w:themeShade="95"/>
        <w:sz w:val="22"/>
      </w:rPr>
      <w:tblPr/>
      <w:tcPr>
        <w:tcBorders>
          <w:top w:val="none" w:color="auto" w:sz="0" w:space="0"/>
          <w:left w:val="none" w:color="auto" w:sz="0" w:space="0"/>
          <w:bottom w:val="single" w:color="A5A5A5" w:themeColor="accent3" w:sz="4" w:space="0"/>
          <w:right w:val="none" w:color="auto" w:sz="0" w:space="0"/>
        </w:tcBorders>
        <w:shd w:val="clear" w:color="FFFFFF" w:fill="FFFFFF" w:themeFill="light1"/>
      </w:tcPr>
    </w:tblStylePr>
    <w:tblStylePr w:type="lastRow">
      <w:rPr>
        <w:b/>
        <w:color w:val="a5a5a5" w:themeColor="accent3" w:themeTint="fe" w:themeShade="95"/>
        <w:sz w:val="22"/>
      </w:rPr>
      <w:tblPr/>
      <w:tcPr>
        <w:tcBorders>
          <w:top w:val="single" w:color="A5A5A5"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a5a5a5" w:themeColor="accent3" w:themeTint="fe" w:themeShade="95"/>
        <w:sz w:val="22"/>
      </w:rPr>
      <w:tblPr/>
      <w:tcPr>
        <w:tcBorders>
          <w:top w:val="none" w:color="auto" w:sz="0" w:space="0"/>
          <w:left w:val="none" w:color="auto" w:sz="0" w:space="0"/>
          <w:bottom w:val="none" w:color="auto" w:sz="0" w:space="0"/>
          <w:right w:val="single" w:color="A5A5A5" w:themeColor="accent3" w:sz="4" w:space="0"/>
        </w:tcBorders>
        <w:shd w:val="clear" w:color="FFFFFF" w:fill="auto"/>
      </w:tcPr>
    </w:tblStylePr>
    <w:tblStylePr w:type="lastCol">
      <w:rPr>
        <w:i/>
        <w:color w:val="a5a5a5" w:themeColor="accent3" w:themeTint="fe" w:themeShade="95"/>
        <w:sz w:val="22"/>
      </w:rPr>
      <w:tblPr/>
      <w:tcPr>
        <w:tcBorders>
          <w:top w:val="none" w:color="auto" w:sz="0" w:space="0"/>
          <w:left w:val="single" w:color="A5A5A5" w:themeColor="accent3" w:sz="4" w:space="0"/>
          <w:bottom w:val="none" w:color="auto" w:sz="0" w:space="0"/>
          <w:right w:val="none" w:color="auto" w:sz="0" w:space="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Pr/>
    </w:tblStylePr>
  </w:style>
  <w:style w:type="table" w:customStyle="1" w:styleId="GridTable7Colorful-Accent4">
    <w:name w:val="Grid Table 7 Colorful - Accent 4"/>
    <w:basedOn w:val="Standardowy"/>
    <w:uiPriority w:val="99"/>
    <w:pPr>
      <w:spacing w:after="0" w:line="240" w:lineRule="auto"/>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ffd865" w:themeColor="accent4" w:themeTint="9a" w:themeShade="95"/>
        <w:sz w:val="22"/>
      </w:rPr>
      <w:tblPr/>
      <w:tcPr>
        <w:tcBorders>
          <w:top w:val="none" w:color="auto" w:sz="0" w:space="0"/>
          <w:left w:val="none" w:color="auto" w:sz="0" w:space="0"/>
          <w:bottom w:val="single" w:color="FFD865" w:themeColor="accent4" w:sz="4" w:space="0"/>
          <w:right w:val="none" w:color="auto" w:sz="0" w:space="0"/>
        </w:tcBorders>
        <w:shd w:val="clear" w:color="FFFFFF" w:fill="FFFFFF" w:themeFill="light1"/>
      </w:tcPr>
    </w:tblStylePr>
    <w:tblStylePr w:type="lastRow">
      <w:rPr>
        <w:b/>
        <w:color w:val="ffd865" w:themeColor="accent4" w:themeTint="9a" w:themeShade="95"/>
        <w:sz w:val="22"/>
      </w:rPr>
      <w:tblPr/>
      <w:tcPr>
        <w:tcBorders>
          <w:top w:val="single" w:color="FFD865"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ffd865" w:themeColor="accent4" w:themeTint="9a" w:themeShade="95"/>
        <w:sz w:val="22"/>
      </w:rPr>
      <w:tblPr/>
      <w:tcPr>
        <w:tcBorders>
          <w:top w:val="none" w:color="auto" w:sz="0" w:space="0"/>
          <w:left w:val="none" w:color="auto" w:sz="0" w:space="0"/>
          <w:bottom w:val="none" w:color="auto" w:sz="0" w:space="0"/>
          <w:right w:val="single" w:color="FFD865" w:themeColor="accent4" w:sz="4" w:space="0"/>
        </w:tcBorders>
        <w:shd w:val="clear" w:color="FFFFFF" w:fill="auto"/>
      </w:tcPr>
    </w:tblStylePr>
    <w:tblStylePr w:type="lastCol">
      <w:rPr>
        <w:i/>
        <w:color w:val="ffd865" w:themeColor="accent4" w:themeTint="9a" w:themeShade="95"/>
        <w:sz w:val="22"/>
      </w:rPr>
      <w:tblPr/>
      <w:tcPr>
        <w:tcBorders>
          <w:top w:val="none" w:color="auto" w:sz="0" w:space="0"/>
          <w:left w:val="single" w:color="FFD865" w:themeColor="accent4" w:sz="4" w:space="0"/>
          <w:bottom w:val="none" w:color="auto" w:sz="0" w:space="0"/>
          <w:right w:val="none" w:color="auto" w:sz="0" w:space="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Pr/>
    </w:tblStylePr>
  </w:style>
  <w:style w:type="table" w:customStyle="1" w:styleId="GridTable7Colorful-Accent5">
    <w:name w:val="Grid Table 7 Colorful - Accent 5"/>
    <w:basedOn w:val="Standardowy"/>
    <w:uiPriority w:val="99"/>
    <w:pPr>
      <w:spacing w:after="0" w:line="240" w:lineRule="auto"/>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b/>
        <w:color w:val="245a8d" w:themeColor="accent5" w:themeShade="95"/>
        <w:sz w:val="22"/>
      </w:rPr>
      <w:tblPr/>
      <w:tcPr>
        <w:tcBorders>
          <w:top w:val="none" w:color="auto" w:sz="0" w:space="0"/>
          <w:left w:val="none" w:color="auto" w:sz="0" w:space="0"/>
          <w:bottom w:val="single" w:color="A2C6E7" w:themeColor="accent5" w:sz="4" w:space="0"/>
          <w:right w:val="none" w:color="auto" w:sz="0" w:space="0"/>
        </w:tcBorders>
        <w:shd w:val="clear" w:color="FFFFFF" w:fill="FFFFFF" w:themeFill="light1"/>
      </w:tcPr>
    </w:tblStylePr>
    <w:tblStylePr w:type="lastRow">
      <w:rPr>
        <w:b/>
        <w:color w:val="245a8d" w:themeColor="accent5" w:themeShade="95"/>
        <w:sz w:val="22"/>
      </w:rPr>
      <w:tblPr/>
      <w:tcPr>
        <w:tcBorders>
          <w:top w:val="single" w:color="A2C6E7"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45a8d" w:themeColor="accent5" w:themeShade="95"/>
        <w:sz w:val="22"/>
      </w:rPr>
      <w:tblPr/>
      <w:tcPr>
        <w:tcBorders>
          <w:top w:val="none" w:color="auto" w:sz="0" w:space="0"/>
          <w:left w:val="none" w:color="auto" w:sz="0" w:space="0"/>
          <w:bottom w:val="none" w:color="auto" w:sz="0" w:space="0"/>
          <w:right w:val="single" w:color="A2C6E7" w:themeColor="accent5" w:sz="4" w:space="0"/>
        </w:tcBorders>
        <w:shd w:val="clear" w:color="FFFFFF" w:fill="auto"/>
      </w:tcPr>
    </w:tblStylePr>
    <w:tblStylePr w:type="lastCol">
      <w:rPr>
        <w:i/>
        <w:color w:val="245a8d" w:themeColor="accent5" w:themeShade="95"/>
        <w:sz w:val="22"/>
      </w:rPr>
      <w:tblPr/>
      <w:tcPr>
        <w:tcBorders>
          <w:top w:val="none" w:color="auto" w:sz="0" w:space="0"/>
          <w:left w:val="single" w:color="A2C6E7" w:themeColor="accent5" w:sz="4" w:space="0"/>
          <w:bottom w:val="none" w:color="auto" w:sz="0" w:space="0"/>
          <w:right w:val="none" w:color="auto" w:sz="0" w:space="0"/>
        </w:tcBorders>
        <w:shd w:val="clear" w:color="FFFFFF" w:fill="auto"/>
      </w:tc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Pr/>
    </w:tblStylePr>
  </w:style>
  <w:style w:type="table" w:customStyle="1" w:styleId="GridTable7Colorful-Accent6">
    <w:name w:val="Grid Table 7 Colorful - Accent 6"/>
    <w:basedOn w:val="Standardowy"/>
    <w:uiPriority w:val="99"/>
    <w:pPr>
      <w:spacing w:after="0" w:line="240" w:lineRule="auto"/>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color w:val="416429" w:themeColor="accent6" w:themeShade="95"/>
        <w:sz w:val="22"/>
      </w:rPr>
      <w:tblPr/>
      <w:tcPr>
        <w:tcBorders>
          <w:top w:val="none" w:color="auto" w:sz="0" w:space="0"/>
          <w:left w:val="none" w:color="auto" w:sz="0" w:space="0"/>
          <w:bottom w:val="single" w:color="ADD394" w:themeColor="accent6" w:sz="4" w:space="0"/>
          <w:right w:val="none" w:color="auto" w:sz="0" w:space="0"/>
        </w:tcBorders>
        <w:shd w:val="clear" w:color="FFFFFF" w:fill="FFFFFF" w:themeFill="light1"/>
      </w:tcPr>
    </w:tblStylePr>
    <w:tblStylePr w:type="lastRow">
      <w:rPr>
        <w:b/>
        <w:color w:val="416429" w:themeColor="accent6" w:themeShade="95"/>
        <w:sz w:val="22"/>
      </w:rPr>
      <w:tblPr/>
      <w:tcPr>
        <w:tcBorders>
          <w:top w:val="single" w:color="ADD394"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416429" w:themeColor="accent6" w:themeShade="95"/>
        <w:sz w:val="22"/>
      </w:rPr>
      <w:tblPr/>
      <w:tcPr>
        <w:tcBorders>
          <w:top w:val="none" w:color="auto" w:sz="0" w:space="0"/>
          <w:left w:val="none" w:color="auto" w:sz="0" w:space="0"/>
          <w:bottom w:val="none" w:color="auto" w:sz="0" w:space="0"/>
          <w:right w:val="single" w:color="ADD394" w:themeColor="accent6" w:sz="4" w:space="0"/>
        </w:tcBorders>
        <w:shd w:val="clear" w:color="FFFFFF" w:fill="auto"/>
      </w:tcPr>
    </w:tblStylePr>
    <w:tblStylePr w:type="lastCol">
      <w:rPr>
        <w:i/>
        <w:color w:val="416429" w:themeColor="accent6" w:themeShade="95"/>
        <w:sz w:val="22"/>
      </w:rPr>
      <w:tblPr/>
      <w:tcPr>
        <w:tcBorders>
          <w:top w:val="none" w:color="auto" w:sz="0" w:space="0"/>
          <w:left w:val="single" w:color="ADD394" w:themeColor="accent6" w:sz="4" w:space="0"/>
          <w:bottom w:val="none" w:color="auto" w:sz="0" w:space="0"/>
          <w:right w:val="none" w:color="auto" w:sz="0" w:space="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Pr/>
    </w:tblStylePr>
  </w:style>
  <w:style w:type="table" w:styleId="Tabelalisty1jasna">
    <w:name w:val="List Table 1 Light"/>
    <w:basedOn w:val="Standardowy"/>
    <w:uiPriority w:val="99"/>
    <w:pPr>
      <w:spacing w:after="0" w:line="240" w:lineRule="auto"/>
    </w:pPr>
    <w:tblPr>
      <w:tblStyleRowBandSize w:val="1"/>
      <w:tblStyleColBandSize w:val="1"/>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Standardowy"/>
    <w:uiPriority w:val="99"/>
    <w:pPr>
      <w:spacing w:after="0" w:line="240" w:lineRule="auto"/>
    </w:pPr>
    <w:tblPr>
      <w:tblStyleRowBandSize w:val="1"/>
      <w:tblStyleColBandSize w:val="1"/>
    </w:tblPr>
    <w:tblStylePr w:type="firstRow">
      <w:rPr>
        <w:b/>
      </w:rPr>
      <w:tblPr/>
      <w:tcPr>
        <w:tcBorders>
          <w:top w:val="none" w:color="000000" w:sz="4" w:space="0"/>
          <w:left w:val="none" w:color="000000" w:sz="4" w:space="0"/>
          <w:bottom w:val="single" w:color="4472C4" w:themeColor="accent1" w:sz="4" w:space="0"/>
          <w:right w:val="none" w:color="000000" w:sz="4" w:space="0"/>
        </w:tcBorders>
      </w:tcPr>
    </w:tblStylePr>
    <w:tblStylePr w:type="lastRow">
      <w:rPr>
        <w:b/>
      </w:rPr>
      <w:tblPr/>
      <w:tcPr>
        <w:tcBorders>
          <w:top w:val="single" w:color="4472C4" w:themeColor="accen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
    <w:name w:val="List Table 1 Light - Accent 2"/>
    <w:basedOn w:val="Standardowy"/>
    <w:uiPriority w:val="99"/>
    <w:pPr>
      <w:spacing w:after="0" w:line="240" w:lineRule="auto"/>
    </w:pPr>
    <w:tblPr>
      <w:tblStyleRowBandSize w:val="1"/>
      <w:tblStyleColBandSize w:val="1"/>
    </w:tblPr>
    <w:tblStylePr w:type="firstRow">
      <w:rPr>
        <w:b/>
      </w:rPr>
      <w:tblPr/>
      <w:tcPr>
        <w:tcBorders>
          <w:top w:val="none" w:color="000000" w:sz="4" w:space="0"/>
          <w:left w:val="none" w:color="000000" w:sz="4" w:space="0"/>
          <w:bottom w:val="single" w:color="ED7D31" w:themeColor="accent2" w:sz="4" w:space="0"/>
          <w:right w:val="none" w:color="000000" w:sz="4" w:space="0"/>
        </w:tcBorders>
      </w:tcPr>
    </w:tblStylePr>
    <w:tblStylePr w:type="lastRow">
      <w:rPr>
        <w:b/>
      </w:rPr>
      <w:tblPr/>
      <w:tcPr>
        <w:tcBorders>
          <w:top w:val="single" w:color="ED7D31" w:themeColor="accent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Standardowy"/>
    <w:uiPriority w:val="99"/>
    <w:pPr>
      <w:spacing w:after="0" w:line="240" w:lineRule="auto"/>
    </w:pPr>
    <w:tblPr>
      <w:tblStyleRowBandSize w:val="1"/>
      <w:tblStyleColBandSize w:val="1"/>
    </w:tblPr>
    <w:tblStylePr w:type="firstRow">
      <w:rPr>
        <w:b/>
      </w:rPr>
      <w:tblPr/>
      <w:tcPr>
        <w:tcBorders>
          <w:top w:val="none" w:color="000000" w:sz="4" w:space="0"/>
          <w:left w:val="none" w:color="000000" w:sz="4" w:space="0"/>
          <w:bottom w:val="single" w:color="A5A5A5" w:themeColor="accent3" w:sz="4" w:space="0"/>
          <w:right w:val="none" w:color="000000" w:sz="4" w:space="0"/>
        </w:tcBorders>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Standardowy"/>
    <w:uiPriority w:val="99"/>
    <w:pPr>
      <w:spacing w:after="0" w:line="240" w:lineRule="auto"/>
    </w:pPr>
    <w:tblPr>
      <w:tblStyleRowBandSize w:val="1"/>
      <w:tblStyleColBandSize w:val="1"/>
    </w:tblPr>
    <w:tblStylePr w:type="firstRow">
      <w:rPr>
        <w:b/>
      </w:rPr>
      <w:tblPr/>
      <w:tcPr>
        <w:tcBorders>
          <w:top w:val="none" w:color="000000" w:sz="4" w:space="0"/>
          <w:left w:val="none" w:color="000000" w:sz="4" w:space="0"/>
          <w:bottom w:val="single" w:color="FFC000" w:themeColor="accent4" w:sz="4" w:space="0"/>
          <w:right w:val="none" w:color="000000" w:sz="4" w:space="0"/>
        </w:tcBorders>
      </w:tcPr>
    </w:tblStylePr>
    <w:tblStylePr w:type="lastRow">
      <w:rPr>
        <w:b/>
      </w:rPr>
      <w:tblPr/>
      <w:tcPr>
        <w:tcBorders>
          <w:top w:val="single" w:color="FFC000" w:themeColor="accent4"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Standardowy"/>
    <w:uiPriority w:val="99"/>
    <w:pPr>
      <w:spacing w:after="0" w:line="240" w:lineRule="auto"/>
    </w:pPr>
    <w:tblPr>
      <w:tblStyleRowBandSize w:val="1"/>
      <w:tblStyleColBandSize w:val="1"/>
    </w:tblPr>
    <w:tblStylePr w:type="firstRow">
      <w:rPr>
        <w:b/>
      </w:rPr>
      <w:tblPr/>
      <w:tcPr>
        <w:tcBorders>
          <w:top w:val="none" w:color="000000" w:sz="4" w:space="0"/>
          <w:left w:val="none" w:color="000000" w:sz="4" w:space="0"/>
          <w:bottom w:val="single" w:color="5B9BD5" w:themeColor="accent5" w:sz="4" w:space="0"/>
          <w:right w:val="none" w:color="000000" w:sz="4" w:space="0"/>
        </w:tcBorders>
      </w:tcPr>
    </w:tblStylePr>
    <w:tblStylePr w:type="lastRow">
      <w:rPr>
        <w:b/>
      </w:rPr>
      <w:tblPr/>
      <w:tcPr>
        <w:tcBorders>
          <w:top w:val="single" w:color="5B9BD5" w:themeColor="accent5"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
    <w:name w:val="List Table 1 Light - Accent 6"/>
    <w:basedOn w:val="Standardowy"/>
    <w:uiPriority w:val="99"/>
    <w:pPr>
      <w:spacing w:after="0" w:line="240" w:lineRule="auto"/>
    </w:pPr>
    <w:tblPr>
      <w:tblStyleRowBandSize w:val="1"/>
      <w:tblStyleColBandSize w:val="1"/>
    </w:tblPr>
    <w:tblStylePr w:type="firstRow">
      <w:rPr>
        <w:b/>
      </w:rPr>
      <w:tblPr/>
      <w:tcPr>
        <w:tcBorders>
          <w:top w:val="none" w:color="000000" w:sz="4" w:space="0"/>
          <w:left w:val="none" w:color="000000" w:sz="4" w:space="0"/>
          <w:bottom w:val="single" w:color="70AD47" w:themeColor="accent6" w:sz="4" w:space="0"/>
          <w:right w:val="none" w:color="000000" w:sz="4" w:space="0"/>
        </w:tcBorders>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Tabelalisty2">
    <w:name w:val="List Table 2"/>
    <w:basedOn w:val="Standardowy"/>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Standardowy"/>
    <w:uiPriority w:val="99"/>
    <w:pPr>
      <w:spacing w:after="0" w:line="240" w:lineRule="auto"/>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blStylePr w:type="firstRow">
      <w:rPr>
        <w:b/>
        <w:sz w:val="22"/>
      </w:rPr>
      <w:tblPr/>
      <w:tcPr>
        <w:tcBorders>
          <w:top w:val="single" w:color="95AFDD" w:themeColor="accent1" w:sz="4" w:space="0"/>
          <w:left w:val="none" w:color="000000" w:sz="4" w:space="0"/>
          <w:bottom w:val="single" w:color="95AFDD" w:themeColor="accent1" w:sz="4" w:space="0"/>
          <w:right w:val="none" w:color="000000" w:sz="4" w:space="0"/>
        </w:tcBorders>
      </w:tcPr>
    </w:tblStylePr>
    <w:tblStylePr w:type="lastRow">
      <w:rPr>
        <w:b/>
        <w:sz w:val="22"/>
      </w:rPr>
      <w:tblPr/>
      <w:tcPr>
        <w:tcBorders>
          <w:top w:val="single" w:color="95AFDD" w:themeColor="accent1" w:sz="4" w:space="0"/>
          <w:left w:val="none" w:color="000000" w:sz="4" w:space="0"/>
          <w:bottom w:val="single" w:color="95AFDD" w:themeColor="accen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CFDBF0" w:fill="CFDBF0" w:themeFill="accent1" w:themeFillTint="40"/>
      </w:tcPr>
    </w:tblStylePr>
    <w:tblStylePr w:type="band1Horz">
      <w:rPr>
        <w:sz w:val="22"/>
      </w:rPr>
      <w:tblPr/>
      <w:tcPr>
        <w:shd w:val="clear" w:color="CFDBF0" w:fill="CFDBF0" w:themeFill="accent1" w:themeFillTint="40"/>
      </w:tcPr>
    </w:tblStylePr>
  </w:style>
  <w:style w:type="table" w:customStyle="1" w:styleId="ListTable2-Accent2">
    <w:name w:val="List Table 2 - Accent 2"/>
    <w:basedOn w:val="Standardowy"/>
    <w:uiPriority w:val="99"/>
    <w:pPr>
      <w:spacing w:after="0" w:line="240" w:lineRule="auto"/>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b/>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lastRow">
      <w:rPr>
        <w:b/>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
    <w:name w:val="List Table 2 - Accent 3"/>
    <w:basedOn w:val="Standardowy"/>
    <w:uiPriority w:val="99"/>
    <w:pPr>
      <w:spacing w:after="0" w:line="240" w:lineRule="auto"/>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b/>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lastRow">
      <w:rPr>
        <w:b/>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
    <w:name w:val="List Table 2 - Accent 4"/>
    <w:basedOn w:val="Standardowy"/>
    <w:uiPriority w:val="99"/>
    <w:pPr>
      <w:spacing w:after="0" w:line="240" w:lineRule="auto"/>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firstRow">
      <w:rPr>
        <w:b/>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lastRow">
      <w:rPr>
        <w:b/>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
    <w:name w:val="List Table 2 - Accent 5"/>
    <w:basedOn w:val="Standardowy"/>
    <w:uiPriority w:val="99"/>
    <w:pPr>
      <w:spacing w:after="0" w:line="240" w:lineRule="auto"/>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blStylePr w:type="firstRow">
      <w:rPr>
        <w:b/>
        <w:sz w:val="22"/>
      </w:rPr>
      <w:tblPr/>
      <w:tcPr>
        <w:tcBorders>
          <w:top w:val="single" w:color="A2C6E7" w:themeColor="accent5" w:sz="4" w:space="0"/>
          <w:left w:val="none" w:color="000000" w:sz="4" w:space="0"/>
          <w:bottom w:val="single" w:color="A2C6E7" w:themeColor="accent5" w:sz="4" w:space="0"/>
          <w:right w:val="none" w:color="000000" w:sz="4" w:space="0"/>
        </w:tcBorders>
      </w:tcPr>
    </w:tblStylePr>
    <w:tblStylePr w:type="lastRow">
      <w:rPr>
        <w:b/>
        <w:sz w:val="22"/>
      </w:rPr>
      <w:tblPr/>
      <w:tcPr>
        <w:tcBorders>
          <w:top w:val="single" w:color="A2C6E7" w:themeColor="accent5" w:sz="4" w:space="0"/>
          <w:left w:val="none" w:color="000000" w:sz="4" w:space="0"/>
          <w:bottom w:val="single" w:color="A2C6E7" w:themeColor="accent5"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5E5F4" w:fill="D5E5F4" w:themeFill="accent5" w:themeFillTint="40"/>
      </w:tcPr>
    </w:tblStylePr>
    <w:tblStylePr w:type="band1Horz">
      <w:rPr>
        <w:sz w:val="22"/>
      </w:rPr>
      <w:tblPr/>
      <w:tcPr>
        <w:shd w:val="clear" w:color="D5E5F4" w:fill="D5E5F4" w:themeFill="accent5" w:themeFillTint="40"/>
      </w:tcPr>
    </w:tblStylePr>
  </w:style>
  <w:style w:type="table" w:customStyle="1" w:styleId="ListTable2-Accent6">
    <w:name w:val="List Table 2 - Accent 6"/>
    <w:basedOn w:val="Standardowy"/>
    <w:uiPriority w:val="99"/>
    <w:pPr>
      <w:spacing w:after="0" w:line="240" w:lineRule="auto"/>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b/>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lastRow">
      <w:rPr>
        <w:b/>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Tabelalisty3">
    <w:name w:val="List Table 3"/>
    <w:basedOn w:val="Standardowy"/>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Standardowy"/>
    <w:uiPriority w:val="99"/>
    <w:pPr>
      <w:spacing w:after="0" w:line="240" w:lineRule="auto"/>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b/>
        <w:sz w:val="22"/>
      </w:rPr>
      <w:tblPr/>
      <w:tcPr>
        <w:shd w:val="clear" w:color="4472C4" w:fill="4472C4" w:themeFill="accen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472C4" w:themeColor="accent1" w:sz="4" w:space="0"/>
          <w:right w:val="single" w:color="4472C4" w:themeColor="accent1" w:sz="4" w:space="0"/>
        </w:tcBorders>
      </w:tcPr>
    </w:tblStylePr>
    <w:tblStylePr w:type="band1Horz">
      <w:rPr>
        <w:sz w:val="22"/>
      </w:rPr>
      <w:tblPr/>
      <w:tcPr>
        <w:tcBorders>
          <w:top w:val="single" w:color="4472C4" w:themeColor="accent1" w:sz="4" w:space="0"/>
          <w:bottom w:val="single" w:color="4472C4" w:themeColor="accent1" w:sz="4" w:space="0"/>
        </w:tcBorders>
      </w:tcPr>
    </w:tblStylePr>
  </w:style>
  <w:style w:type="table" w:customStyle="1" w:styleId="ListTable3-Accent2">
    <w:name w:val="List Table 3 - Accent 2"/>
    <w:basedOn w:val="Standardowy"/>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firstRow">
      <w:rPr>
        <w:b/>
        <w:sz w:val="22"/>
      </w:rPr>
      <w:tblPr/>
      <w:tcPr>
        <w:shd w:val="clear" w:color="F4B184" w:fill="F4B184" w:themeFill="accent2" w:themeFillTint="97"/>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4B184" w:themeColor="accent2" w:sz="4" w:space="0"/>
          <w:right w:val="single" w:color="F4B184" w:themeColor="accent2" w:sz="4" w:space="0"/>
        </w:tcBorders>
      </w:tcPr>
    </w:tblStylePr>
    <w:tblStylePr w:type="band1Horz">
      <w:rPr>
        <w:sz w:val="22"/>
      </w:rPr>
      <w:tblPr/>
      <w:tcPr>
        <w:tcBorders>
          <w:top w:val="single" w:color="F4B184" w:themeColor="accent2" w:sz="4" w:space="0"/>
          <w:bottom w:val="single" w:color="F4B184" w:themeColor="accent2" w:sz="4" w:space="0"/>
        </w:tcBorders>
      </w:tcPr>
    </w:tblStylePr>
  </w:style>
  <w:style w:type="table" w:customStyle="1" w:styleId="ListTable3-Accent3">
    <w:name w:val="List Table 3 - Accent 3"/>
    <w:basedOn w:val="Standardowy"/>
    <w:uiPriority w:val="99"/>
    <w:pPr>
      <w:spacing w:after="0" w:line="240" w:lineRule="auto"/>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b/>
        <w:sz w:val="22"/>
      </w:rPr>
      <w:tblPr/>
      <w:tcPr>
        <w:shd w:val="clear" w:color="C9C9C9" w:fill="C9C9C9" w:themeFill="accent3"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C9C9C9" w:themeColor="accent3" w:sz="4" w:space="0"/>
          <w:right w:val="single" w:color="C9C9C9" w:themeColor="accent3" w:sz="4" w:space="0"/>
        </w:tcBorders>
      </w:tcPr>
    </w:tblStylePr>
    <w:tblStylePr w:type="band1Horz">
      <w:rPr>
        <w:sz w:val="22"/>
      </w:rPr>
      <w:tblPr/>
      <w:tcPr>
        <w:tcBorders>
          <w:top w:val="single" w:color="C9C9C9" w:themeColor="accent3" w:sz="4" w:space="0"/>
          <w:bottom w:val="single" w:color="C9C9C9" w:themeColor="accent3" w:sz="4" w:space="0"/>
        </w:tcBorders>
      </w:tcPr>
    </w:tblStylePr>
  </w:style>
  <w:style w:type="table" w:customStyle="1" w:styleId="ListTable3-Accent4">
    <w:name w:val="List Table 3 - Accent 4"/>
    <w:basedOn w:val="Standardowy"/>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firstRow">
      <w:rPr>
        <w:b/>
        <w:sz w:val="22"/>
      </w:rPr>
      <w:tblPr/>
      <w:tcPr>
        <w:shd w:val="clear" w:color="FFD865" w:fill="FFD865" w:themeFill="accent4"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FD865" w:themeColor="accent4" w:sz="4" w:space="0"/>
          <w:right w:val="single" w:color="FFD865" w:themeColor="accent4" w:sz="4" w:space="0"/>
        </w:tcBorders>
      </w:tcPr>
    </w:tblStylePr>
    <w:tblStylePr w:type="band1Horz">
      <w:rPr>
        <w:sz w:val="22"/>
      </w:rPr>
      <w:tblPr/>
      <w:tcPr>
        <w:tcBorders>
          <w:top w:val="single" w:color="FFD865" w:themeColor="accent4" w:sz="4" w:space="0"/>
          <w:bottom w:val="single" w:color="FFD865" w:themeColor="accent4" w:sz="4" w:space="0"/>
        </w:tcBorders>
      </w:tcPr>
    </w:tblStylePr>
  </w:style>
  <w:style w:type="table" w:customStyle="1" w:styleId="ListTable3-Accent5">
    <w:name w:val="List Table 3 - Accent 5"/>
    <w:basedOn w:val="Standardowy"/>
    <w:uiPriority w:val="99"/>
    <w:pPr>
      <w:spacing w:after="0" w:line="240" w:lineRule="auto"/>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blStylePr w:type="firstRow">
      <w:rPr>
        <w:b/>
        <w:sz w:val="22"/>
      </w:rPr>
      <w:tblPr/>
      <w:tcPr>
        <w:shd w:val="clear" w:color="9BC2E5" w:fill="9BC2E5" w:themeFill="accent5"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9BC2E5" w:themeColor="accent5" w:sz="4" w:space="0"/>
          <w:right w:val="single" w:color="9BC2E5" w:themeColor="accent5" w:sz="4" w:space="0"/>
        </w:tcBorders>
      </w:tcPr>
    </w:tblStylePr>
    <w:tblStylePr w:type="band1Horz">
      <w:rPr>
        <w:sz w:val="22"/>
      </w:rPr>
      <w:tblPr/>
      <w:tcPr>
        <w:tcBorders>
          <w:top w:val="single" w:color="9BC2E5" w:themeColor="accent5" w:sz="4" w:space="0"/>
          <w:bottom w:val="single" w:color="9BC2E5" w:themeColor="accent5" w:sz="4" w:space="0"/>
        </w:tcBorders>
      </w:tcPr>
    </w:tblStylePr>
  </w:style>
  <w:style w:type="table" w:customStyle="1" w:styleId="ListTable3-Accent6">
    <w:name w:val="List Table 3 - Accent 6"/>
    <w:basedOn w:val="Standardowy"/>
    <w:uiPriority w:val="99"/>
    <w:pPr>
      <w:spacing w:after="0" w:line="240" w:lineRule="auto"/>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b/>
        <w:sz w:val="22"/>
      </w:rPr>
      <w:tblPr/>
      <w:tcPr>
        <w:shd w:val="clear" w:color="A9D08E" w:fill="A9D08E" w:themeFill="accent6"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A9D08E" w:themeColor="accent6" w:sz="4" w:space="0"/>
          <w:right w:val="single" w:color="A9D08E" w:themeColor="accent6" w:sz="4" w:space="0"/>
        </w:tcBorders>
      </w:tcPr>
    </w:tblStylePr>
    <w:tblStylePr w:type="band1Horz">
      <w:rPr>
        <w:sz w:val="22"/>
      </w:rPr>
      <w:tblPr/>
      <w:tcPr>
        <w:tcBorders>
          <w:top w:val="single" w:color="A9D08E" w:themeColor="accent6" w:sz="4" w:space="0"/>
          <w:bottom w:val="single" w:color="A9D08E" w:themeColor="accent6" w:sz="4" w:space="0"/>
        </w:tcBorders>
      </w:tcPr>
    </w:tblStylePr>
  </w:style>
  <w:style w:type="table" w:styleId="Tabelalisty4">
    <w:name w:val="List Table 4"/>
    <w:basedOn w:val="Standardowy"/>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Standardowy"/>
    <w:uiPriority w:val="99"/>
    <w:pPr>
      <w:spacing w:after="0" w:line="240" w:lineRule="auto"/>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blStylePr w:type="firstRow">
      <w:rPr>
        <w:b/>
        <w:sz w:val="22"/>
      </w:rPr>
      <w:tblPr/>
      <w:tcPr>
        <w:shd w:val="clear" w:color="4472C4" w:fill="4472C4" w:themeFill="accent1"/>
      </w:tcPr>
    </w:tblStylePr>
    <w:tblStylePr w:type="lastRow">
      <w:rPr>
        <w:b/>
      </w:rPr>
      <w:tblPr/>
    </w:tblStylePr>
    <w:tblStylePr w:type="firstCol">
      <w:rPr>
        <w:b/>
      </w:rPr>
      <w:tblPr/>
    </w:tblStylePr>
    <w:tblStylePr w:type="lastCol">
      <w:rPr>
        <w:b/>
      </w:rPr>
      <w:tblPr/>
    </w:tblStylePr>
    <w:tblStylePr w:type="band1Vert">
      <w:rPr>
        <w:sz w:val="22"/>
      </w:rPr>
      <w:tblPr/>
      <w:tcPr>
        <w:shd w:val="clear" w:color="CFDBF0" w:fill="CFDBF0" w:themeFill="accent1" w:themeFillTint="40"/>
      </w:tcPr>
    </w:tblStylePr>
    <w:tblStylePr w:type="band1Horz">
      <w:rPr>
        <w:sz w:val="22"/>
      </w:rPr>
      <w:tblPr/>
      <w:tcPr>
        <w:shd w:val="clear" w:color="CFDBF0" w:fill="CFDBF0" w:themeFill="accent1" w:themeFillTint="40"/>
      </w:tcPr>
    </w:tblStylePr>
  </w:style>
  <w:style w:type="table" w:customStyle="1" w:styleId="ListTable4-Accent2">
    <w:name w:val="List Table 4 - Accent 2"/>
    <w:basedOn w:val="Standardowy"/>
    <w:uiPriority w:val="9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b/>
        <w:sz w:val="22"/>
      </w:rPr>
      <w:tblPr/>
      <w:tcPr>
        <w:shd w:val="clear" w:color="ED7D31" w:fill="ED7D31" w:themeFill="accent2"/>
      </w:tcPr>
    </w:tblStylePr>
    <w:tblStylePr w:type="lastRow">
      <w:rPr>
        <w:b/>
      </w:rPr>
      <w:tblPr/>
    </w:tblStylePr>
    <w:tblStylePr w:type="firstCol">
      <w:rPr>
        <w:b/>
      </w:rPr>
      <w:tblPr/>
    </w:tblStylePr>
    <w:tblStylePr w:type="lastCol">
      <w:rPr>
        <w:b/>
      </w:rPr>
      <w:tbl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
    <w:name w:val="List Table 4 - Accent 3"/>
    <w:basedOn w:val="Standardowy"/>
    <w:uiPriority w:val="9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b/>
        <w:sz w:val="22"/>
      </w:rPr>
      <w:tblPr/>
      <w:tcPr>
        <w:shd w:val="clear" w:color="A5A5A5" w:fill="A5A5A5" w:themeFill="accent3"/>
      </w:tcPr>
    </w:tblStylePr>
    <w:tblStylePr w:type="lastRow">
      <w:rPr>
        <w:b/>
      </w:rPr>
      <w:tblPr/>
    </w:tblStylePr>
    <w:tblStylePr w:type="firstCol">
      <w:rPr>
        <w:b/>
      </w:rPr>
      <w:tblPr/>
    </w:tblStylePr>
    <w:tblStylePr w:type="lastCol">
      <w:rPr>
        <w:b/>
      </w:rPr>
      <w:tbl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
    <w:name w:val="List Table 4 - Accent 4"/>
    <w:basedOn w:val="Standardowy"/>
    <w:uiPriority w:val="9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firstRow">
      <w:rPr>
        <w:b/>
        <w:sz w:val="22"/>
      </w:rPr>
      <w:tblPr/>
      <w:tcPr>
        <w:shd w:val="clear" w:color="FFC000" w:fill="FFC000" w:themeFill="accent4"/>
      </w:tcPr>
    </w:tblStylePr>
    <w:tblStylePr w:type="lastRow">
      <w:rPr>
        <w:b/>
      </w:rPr>
      <w:tblPr/>
    </w:tblStylePr>
    <w:tblStylePr w:type="firstCol">
      <w:rPr>
        <w:b/>
      </w:rPr>
      <w:tblPr/>
    </w:tblStylePr>
    <w:tblStylePr w:type="lastCol">
      <w:rPr>
        <w:b/>
      </w:rPr>
      <w:tbl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
    <w:name w:val="List Table 4 - Accent 5"/>
    <w:basedOn w:val="Standardowy"/>
    <w:uiPriority w:val="99"/>
    <w:pPr>
      <w:spacing w:after="0" w:line="240" w:lineRule="auto"/>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blStylePr w:type="firstRow">
      <w:rPr>
        <w:b/>
        <w:sz w:val="22"/>
      </w:rPr>
      <w:tblPr/>
      <w:tcPr>
        <w:shd w:val="clear" w:color="5B9BD5" w:fill="5B9BD5" w:themeFill="accent5"/>
      </w:tcPr>
    </w:tblStylePr>
    <w:tblStylePr w:type="lastRow">
      <w:rPr>
        <w:b/>
      </w:rPr>
      <w:tblPr/>
    </w:tblStylePr>
    <w:tblStylePr w:type="firstCol">
      <w:rPr>
        <w:b/>
      </w:rPr>
      <w:tblPr/>
    </w:tblStylePr>
    <w:tblStylePr w:type="lastCol">
      <w:rPr>
        <w:b/>
      </w:rPr>
      <w:tblPr/>
    </w:tblStylePr>
    <w:tblStylePr w:type="band1Vert">
      <w:rPr>
        <w:sz w:val="22"/>
      </w:rPr>
      <w:tblPr/>
      <w:tcPr>
        <w:shd w:val="clear" w:color="D5E5F4" w:fill="D5E5F4" w:themeFill="accent5" w:themeFillTint="40"/>
      </w:tcPr>
    </w:tblStylePr>
    <w:tblStylePr w:type="band1Horz">
      <w:rPr>
        <w:sz w:val="22"/>
      </w:rPr>
      <w:tblPr/>
      <w:tcPr>
        <w:shd w:val="clear" w:color="D5E5F4" w:fill="D5E5F4" w:themeFill="accent5" w:themeFillTint="40"/>
      </w:tcPr>
    </w:tblStylePr>
  </w:style>
  <w:style w:type="table" w:customStyle="1" w:styleId="ListTable4-Accent6">
    <w:name w:val="List Table 4 - Accent 6"/>
    <w:basedOn w:val="Standardowy"/>
    <w:uiPriority w:val="9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b/>
        <w:sz w:val="22"/>
      </w:rPr>
      <w:tblPr/>
      <w:tcPr>
        <w:shd w:val="clear" w:color="70AD47" w:fill="70AD47" w:themeFill="accent6"/>
      </w:tcPr>
    </w:tblStylePr>
    <w:tblStylePr w:type="lastRow">
      <w:rPr>
        <w:b/>
      </w:rPr>
      <w:tblPr/>
    </w:tblStylePr>
    <w:tblStylePr w:type="firstCol">
      <w:rPr>
        <w:b/>
      </w:rPr>
      <w:tblPr/>
    </w:tblStylePr>
    <w:tblStylePr w:type="lastCol">
      <w:rPr>
        <w:b/>
      </w:rPr>
      <w:tbl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Tabelalisty5ciemna">
    <w:name w:val="List Table 5 Dark"/>
    <w:basedOn w:val="Standardowy"/>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val="ffffff" w:themeColor="light1"/>
        <w:sz w:val="22"/>
      </w:rPr>
      <w:tbl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Standardowy"/>
    <w:uiPriority w:val="99"/>
    <w:pPr>
      <w:spacing w:after="0" w:line="240" w:lineRule="auto"/>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Pr>
    <w:tblStylePr w:type="firstRow">
      <w:rPr>
        <w:b/>
        <w:color w:val="ffffff" w:themeColor="light1"/>
        <w:sz w:val="22"/>
      </w:rPr>
      <w:tblPr/>
      <w:tcPr>
        <w:tcBorders>
          <w:top w:val="single" w:color="4472C4" w:themeColor="accent1" w:sz="32" w:space="0"/>
          <w:bottom w:val="single" w:color="FFFFFF" w:themeColor="light1" w:sz="12" w:space="0"/>
        </w:tcBorders>
        <w:shd w:val="clear" w:color="4472C4" w:fill="4472C4" w:themeFill="accent1"/>
      </w:tcPr>
    </w:tblStylePr>
    <w:tblStylePr w:type="lastRow">
      <w:rPr>
        <w:b/>
        <w:color w:val="ffffff" w:themeColor="light1"/>
        <w:sz w:val="22"/>
      </w:rPr>
      <w:tblPr/>
    </w:tblStylePr>
    <w:tblStylePr w:type="firstCol">
      <w:rPr>
        <w:b/>
        <w:color w:val="ffffff" w:themeColor="light1"/>
        <w:sz w:val="22"/>
      </w:rPr>
      <w:tblPr/>
      <w:tcPr>
        <w:tcBorders>
          <w:left w:val="single" w:color="4472C4" w:themeColor="accent1" w:sz="32" w:space="0"/>
          <w:right w:val="single" w:color="FFFFFF" w:themeColor="light1" w:sz="4" w:space="0"/>
        </w:tcBorders>
      </w:tcPr>
    </w:tblStylePr>
    <w:tblStylePr w:type="lastCol">
      <w:tblPr/>
      <w:tcPr>
        <w:tcBorders>
          <w:left w:val="single" w:color="FFFFFF" w:themeColor="light1" w:sz="4" w:space="0"/>
          <w:right w:val="single" w:color="4472C4" w:themeColor="accent1" w:sz="32" w:space="0"/>
        </w:tcBorders>
      </w:tcPr>
    </w:tblStylePr>
    <w:tblStylePr w:type="band1Vert">
      <w:tblPr/>
      <w:tcPr>
        <w:tcBorders>
          <w:left w:val="single" w:color="FFFFFF" w:themeColor="light1" w:sz="4" w:space="0"/>
          <w:right w:val="single" w:color="FFFFFF" w:themeColor="light1" w:sz="4" w:space="0"/>
        </w:tcBorders>
        <w:shd w:val="clear" w:color="4472C4" w:fill="4472C4"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472C4" w:fill="4472C4" w:themeFill="accent1"/>
      </w:tcPr>
    </w:tblStylePr>
    <w:tblStylePr w:type="band2Horz">
      <w:tblPr/>
      <w:tcPr>
        <w:tcBorders>
          <w:top w:val="single" w:color="FFFFFF" w:themeColor="light1" w:sz="4" w:space="0"/>
          <w:bottom w:val="single" w:color="FFFFFF" w:themeColor="light1" w:sz="4" w:space="0"/>
        </w:tcBorders>
        <w:shd w:val="clear" w:color="4472C4" w:fill="4472C4" w:themeFill="accent1"/>
      </w:tcPr>
    </w:tblStylePr>
  </w:style>
  <w:style w:type="table" w:customStyle="1" w:styleId="ListTable5Dark-Accent2">
    <w:name w:val="List Table 5 Dark - Accent 2"/>
    <w:basedOn w:val="Standardowy"/>
    <w:uiPriority w:val="99"/>
    <w:pPr>
      <w:spacing w:after="0" w:line="240" w:lineRule="auto"/>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blStylePr w:type="firstRow">
      <w:rPr>
        <w:b/>
        <w:color w:val="ffffff" w:themeColor="light1"/>
        <w:sz w:val="22"/>
      </w:rPr>
      <w:tblPr/>
      <w:tcPr>
        <w:tcBorders>
          <w:top w:val="single" w:color="F4B184" w:themeColor="accent2" w:sz="32" w:space="0"/>
          <w:bottom w:val="single" w:color="FFFFFF" w:themeColor="light1" w:sz="12" w:space="0"/>
        </w:tcBorders>
        <w:shd w:val="clear" w:color="F4B184" w:fill="F4B184" w:themeFill="accent2" w:themeFillTint="97"/>
      </w:tcPr>
    </w:tblStylePr>
    <w:tblStylePr w:type="lastRow">
      <w:rPr>
        <w:b/>
        <w:color w:val="ffffff" w:themeColor="light1"/>
        <w:sz w:val="22"/>
      </w:rPr>
      <w:tblPr/>
    </w:tblStylePr>
    <w:tblStylePr w:type="firstCol">
      <w:rPr>
        <w:b/>
        <w:color w:val="ffffff" w:themeColor="light1"/>
        <w:sz w:val="22"/>
      </w:rPr>
      <w:tblPr/>
      <w:tcPr>
        <w:tcBorders>
          <w:left w:val="single" w:color="F4B184" w:themeColor="accent2" w:sz="32" w:space="0"/>
          <w:right w:val="single" w:color="FFFFFF" w:themeColor="light1" w:sz="4" w:space="0"/>
        </w:tcBorders>
      </w:tcPr>
    </w:tblStylePr>
    <w:tblStylePr w:type="lastCol">
      <w:tblPr/>
      <w:tcPr>
        <w:tcBorders>
          <w:left w:val="single" w:color="FFFFFF" w:themeColor="light1" w:sz="4" w:space="0"/>
          <w:right w:val="single" w:color="F4B184" w:themeColor="accent2" w:sz="32" w:space="0"/>
        </w:tcBorders>
      </w:tcPr>
    </w:tblStylePr>
    <w:tblStylePr w:type="band1Vert">
      <w:tblPr/>
      <w:tcPr>
        <w:tcBorders>
          <w:left w:val="single" w:color="FFFFFF" w:themeColor="light1" w:sz="4" w:space="0"/>
          <w:right w:val="single" w:color="FFFFFF" w:themeColor="light1" w:sz="4" w:space="0"/>
        </w:tcBorders>
        <w:shd w:val="clear" w:color="F4B184"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4B184" w:fill="F4B184" w:themeFill="accent2" w:themeFillTint="97"/>
      </w:tcPr>
    </w:tblStylePr>
    <w:tblStylePr w:type="band2Horz">
      <w:tblPr/>
      <w:tcPr>
        <w:tcBorders>
          <w:top w:val="single" w:color="FFFFFF" w:themeColor="light1" w:sz="4" w:space="0"/>
          <w:bottom w:val="single" w:color="FFFFFF" w:themeColor="light1" w:sz="4" w:space="0"/>
        </w:tcBorders>
        <w:shd w:val="clear" w:color="F4B184" w:fill="F4B184" w:themeFill="accent2" w:themeFillTint="97"/>
      </w:tcPr>
    </w:tblStylePr>
  </w:style>
  <w:style w:type="table" w:customStyle="1" w:styleId="ListTable5Dark-Accent3">
    <w:name w:val="List Table 5 Dark - Accent 3"/>
    <w:basedOn w:val="Standardowy"/>
    <w:uiPriority w:val="99"/>
    <w:pPr>
      <w:spacing w:after="0" w:line="240" w:lineRule="auto"/>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b/>
        <w:color w:val="ffffff" w:themeColor="light1"/>
        <w:sz w:val="22"/>
      </w:rPr>
      <w:tblPr/>
      <w:tcPr>
        <w:tcBorders>
          <w:top w:val="single" w:color="C9C9C9" w:themeColor="accent3" w:sz="32" w:space="0"/>
          <w:bottom w:val="single" w:color="FFFFFF" w:themeColor="light1" w:sz="12" w:space="0"/>
        </w:tcBorders>
        <w:shd w:val="clear" w:color="C9C9C9" w:fill="C9C9C9" w:themeFill="accent3" w:themeFillTint="98"/>
      </w:tcPr>
    </w:tblStylePr>
    <w:tblStylePr w:type="lastRow">
      <w:rPr>
        <w:b/>
        <w:color w:val="ffffff" w:themeColor="light1"/>
        <w:sz w:val="22"/>
      </w:rPr>
      <w:tblPr/>
    </w:tblStylePr>
    <w:tblStylePr w:type="firstCol">
      <w:rPr>
        <w:b/>
        <w:color w:val="ffffff" w:themeColor="light1"/>
        <w:sz w:val="22"/>
      </w:rPr>
      <w:tblPr/>
      <w:tcPr>
        <w:tcBorders>
          <w:left w:val="single" w:color="C9C9C9" w:themeColor="accent3" w:sz="32" w:space="0"/>
          <w:right w:val="single" w:color="FFFFFF" w:themeColor="light1" w:sz="4" w:space="0"/>
        </w:tcBorders>
      </w:tcPr>
    </w:tblStylePr>
    <w:tblStylePr w:type="lastCol">
      <w:tblPr/>
      <w:tcPr>
        <w:tcBorders>
          <w:left w:val="single" w:color="FFFFFF" w:themeColor="light1" w:sz="4" w:space="0"/>
          <w:right w:val="single" w:color="C9C9C9" w:themeColor="accent3" w:sz="32" w:space="0"/>
        </w:tcBorders>
      </w:tcPr>
    </w:tblStylePr>
    <w:tblStylePr w:type="band1Vert">
      <w:tblPr/>
      <w:tcPr>
        <w:tcBorders>
          <w:left w:val="single" w:color="FFFFFF" w:themeColor="light1" w:sz="4" w:space="0"/>
          <w:right w:val="single" w:color="FFFFFF" w:themeColor="light1" w:sz="4" w:space="0"/>
        </w:tcBorders>
        <w:shd w:val="clear" w:color="C9C9C9"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9C9C9" w:fill="C9C9C9" w:themeFill="accent3" w:themeFillTint="98"/>
      </w:tcPr>
    </w:tblStylePr>
    <w:tblStylePr w:type="band2Horz">
      <w:tblPr/>
      <w:tcPr>
        <w:tcBorders>
          <w:top w:val="single" w:color="FFFFFF" w:themeColor="light1" w:sz="4" w:space="0"/>
          <w:bottom w:val="single" w:color="FFFFFF" w:themeColor="light1" w:sz="4" w:space="0"/>
        </w:tcBorders>
        <w:shd w:val="clear" w:color="C9C9C9" w:fill="C9C9C9" w:themeFill="accent3" w:themeFillTint="98"/>
      </w:tcPr>
    </w:tblStylePr>
  </w:style>
  <w:style w:type="table" w:customStyle="1" w:styleId="ListTable5Dark-Accent4">
    <w:name w:val="List Table 5 Dark - Accent 4"/>
    <w:basedOn w:val="Standardowy"/>
    <w:uiPriority w:val="99"/>
    <w:pPr>
      <w:spacing w:after="0" w:line="240" w:lineRule="auto"/>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blStylePr w:type="firstRow">
      <w:rPr>
        <w:b/>
        <w:color w:val="ffffff" w:themeColor="light1"/>
        <w:sz w:val="22"/>
      </w:rPr>
      <w:tblPr/>
      <w:tcPr>
        <w:tcBorders>
          <w:top w:val="single" w:color="FFD865" w:themeColor="accent4" w:sz="32" w:space="0"/>
          <w:bottom w:val="single" w:color="FFFFFF" w:themeColor="light1" w:sz="12" w:space="0"/>
        </w:tcBorders>
        <w:shd w:val="clear" w:color="FFD865" w:fill="FFD865" w:themeFill="accent4" w:themeFillTint="9a"/>
      </w:tcPr>
    </w:tblStylePr>
    <w:tblStylePr w:type="lastRow">
      <w:rPr>
        <w:b/>
        <w:color w:val="ffffff" w:themeColor="light1"/>
        <w:sz w:val="22"/>
      </w:rPr>
      <w:tblPr/>
    </w:tblStylePr>
    <w:tblStylePr w:type="firstCol">
      <w:rPr>
        <w:b/>
        <w:color w:val="ffffff" w:themeColor="light1"/>
        <w:sz w:val="22"/>
      </w:rPr>
      <w:tblPr/>
      <w:tcPr>
        <w:tcBorders>
          <w:left w:val="single" w:color="FFD865" w:themeColor="accent4" w:sz="32" w:space="0"/>
          <w:right w:val="single" w:color="FFFFFF" w:themeColor="light1" w:sz="4" w:space="0"/>
        </w:tcBorders>
      </w:tcPr>
    </w:tblStylePr>
    <w:tblStylePr w:type="lastCol">
      <w:tblPr/>
      <w:tcPr>
        <w:tcBorders>
          <w:left w:val="single" w:color="FFFFFF" w:themeColor="light1" w:sz="4" w:space="0"/>
          <w:right w:val="single" w:color="FFD865" w:themeColor="accent4" w:sz="32" w:space="0"/>
        </w:tcBorders>
      </w:tcPr>
    </w:tblStylePr>
    <w:tblStylePr w:type="band1Vert">
      <w:tblPr/>
      <w:tcPr>
        <w:tcBorders>
          <w:left w:val="single" w:color="FFFFFF" w:themeColor="light1" w:sz="4" w:space="0"/>
          <w:right w:val="single" w:color="FFFFFF" w:themeColor="light1" w:sz="4" w:space="0"/>
        </w:tcBorders>
        <w:shd w:val="clear" w:color="FFD865"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D865" w:fill="FFD865" w:themeFill="accent4" w:themeFillTint="9a"/>
      </w:tcPr>
    </w:tblStylePr>
    <w:tblStylePr w:type="band2Horz">
      <w:tblPr/>
      <w:tcPr>
        <w:tcBorders>
          <w:top w:val="single" w:color="FFFFFF" w:themeColor="light1" w:sz="4" w:space="0"/>
          <w:bottom w:val="single" w:color="FFFFFF" w:themeColor="light1" w:sz="4" w:space="0"/>
        </w:tcBorders>
        <w:shd w:val="clear" w:color="FFD865" w:fill="FFD865" w:themeFill="accent4" w:themeFillTint="9a"/>
      </w:tcPr>
    </w:tblStylePr>
  </w:style>
  <w:style w:type="table" w:customStyle="1" w:styleId="ListTable5Dark-Accent5">
    <w:name w:val="List Table 5 Dark - Accent 5"/>
    <w:basedOn w:val="Standardowy"/>
    <w:uiPriority w:val="99"/>
    <w:pPr>
      <w:spacing w:after="0" w:line="240" w:lineRule="auto"/>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Pr>
    <w:tblStylePr w:type="firstRow">
      <w:rPr>
        <w:b/>
        <w:color w:val="ffffff" w:themeColor="light1"/>
        <w:sz w:val="22"/>
      </w:rPr>
      <w:tblPr/>
      <w:tcPr>
        <w:tcBorders>
          <w:top w:val="single" w:color="9BC2E5" w:themeColor="accent5" w:sz="32" w:space="0"/>
          <w:bottom w:val="single" w:color="FFFFFF" w:themeColor="light1" w:sz="12" w:space="0"/>
        </w:tcBorders>
        <w:shd w:val="clear" w:color="9BC2E5" w:fill="9BC2E5" w:themeFill="accent5" w:themeFillTint="9a"/>
      </w:tcPr>
    </w:tblStylePr>
    <w:tblStylePr w:type="lastRow">
      <w:rPr>
        <w:b/>
        <w:color w:val="ffffff" w:themeColor="light1"/>
        <w:sz w:val="22"/>
      </w:rPr>
      <w:tblPr/>
    </w:tblStylePr>
    <w:tblStylePr w:type="firstCol">
      <w:rPr>
        <w:b/>
        <w:color w:val="ffffff" w:themeColor="light1"/>
        <w:sz w:val="22"/>
      </w:rPr>
      <w:tblPr/>
      <w:tcPr>
        <w:tcBorders>
          <w:left w:val="single" w:color="9BC2E5" w:themeColor="accent5" w:sz="32" w:space="0"/>
          <w:right w:val="single" w:color="FFFFFF" w:themeColor="light1" w:sz="4" w:space="0"/>
        </w:tcBorders>
      </w:tcPr>
    </w:tblStylePr>
    <w:tblStylePr w:type="lastCol">
      <w:tblPr/>
      <w:tcPr>
        <w:tcBorders>
          <w:left w:val="single" w:color="FFFFFF" w:themeColor="light1" w:sz="4" w:space="0"/>
          <w:right w:val="single" w:color="9BC2E5" w:themeColor="accent5" w:sz="32" w:space="0"/>
        </w:tcBorders>
      </w:tcPr>
    </w:tblStylePr>
    <w:tblStylePr w:type="band1Vert">
      <w:tblPr/>
      <w:tcPr>
        <w:tcBorders>
          <w:left w:val="single" w:color="FFFFFF" w:themeColor="light1" w:sz="4" w:space="0"/>
          <w:right w:val="single" w:color="FFFFFF" w:themeColor="light1" w:sz="4" w:space="0"/>
        </w:tcBorders>
        <w:shd w:val="clear" w:color="9BC2E5" w:fill="9BC2E5"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BC2E5" w:fill="9BC2E5" w:themeFill="accent5" w:themeFillTint="9a"/>
      </w:tcPr>
    </w:tblStylePr>
    <w:tblStylePr w:type="band2Horz">
      <w:tblPr/>
      <w:tcPr>
        <w:tcBorders>
          <w:top w:val="single" w:color="FFFFFF" w:themeColor="light1" w:sz="4" w:space="0"/>
          <w:bottom w:val="single" w:color="FFFFFF" w:themeColor="light1" w:sz="4" w:space="0"/>
        </w:tcBorders>
        <w:shd w:val="clear" w:color="9BC2E5" w:fill="9BC2E5" w:themeFill="accent5" w:themeFillTint="9a"/>
      </w:tcPr>
    </w:tblStylePr>
  </w:style>
  <w:style w:type="table" w:customStyle="1" w:styleId="ListTable5Dark-Accent6">
    <w:name w:val="List Table 5 Dark - Accent 6"/>
    <w:basedOn w:val="Standardowy"/>
    <w:uiPriority w:val="99"/>
    <w:pPr>
      <w:spacing w:after="0" w:line="240" w:lineRule="auto"/>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b/>
        <w:color w:val="ffffff" w:themeColor="light1"/>
        <w:sz w:val="22"/>
      </w:rPr>
      <w:tblPr/>
      <w:tcPr>
        <w:tcBorders>
          <w:top w:val="single" w:color="A9D08E" w:themeColor="accent6" w:sz="32" w:space="0"/>
          <w:bottom w:val="single" w:color="FFFFFF" w:themeColor="light1" w:sz="12" w:space="0"/>
        </w:tcBorders>
        <w:shd w:val="clear" w:color="A9D08E" w:fill="A9D08E" w:themeFill="accent6" w:themeFillTint="98"/>
      </w:tcPr>
    </w:tblStylePr>
    <w:tblStylePr w:type="lastRow">
      <w:rPr>
        <w:b/>
        <w:color w:val="ffffff" w:themeColor="light1"/>
        <w:sz w:val="22"/>
      </w:rPr>
      <w:tblPr/>
    </w:tblStylePr>
    <w:tblStylePr w:type="firstCol">
      <w:rPr>
        <w:b/>
        <w:color w:val="ffffff" w:themeColor="light1"/>
        <w:sz w:val="22"/>
      </w:rPr>
      <w:tblPr/>
      <w:tcPr>
        <w:tcBorders>
          <w:left w:val="single" w:color="A9D08E" w:themeColor="accent6" w:sz="32" w:space="0"/>
          <w:right w:val="single" w:color="FFFFFF" w:themeColor="light1" w:sz="4" w:space="0"/>
        </w:tcBorders>
      </w:tcPr>
    </w:tblStylePr>
    <w:tblStylePr w:type="lastCol">
      <w:tblPr/>
      <w:tcPr>
        <w:tcBorders>
          <w:left w:val="single" w:color="FFFFFF" w:themeColor="light1" w:sz="4" w:space="0"/>
          <w:right w:val="single" w:color="A9D08E" w:themeColor="accent6" w:sz="32" w:space="0"/>
        </w:tcBorders>
      </w:tcPr>
    </w:tblStylePr>
    <w:tblStylePr w:type="band1Vert">
      <w:tblPr/>
      <w:tcPr>
        <w:tcBorders>
          <w:left w:val="single" w:color="FFFFFF" w:themeColor="light1" w:sz="4" w:space="0"/>
          <w:right w:val="single" w:color="FFFFFF" w:themeColor="light1" w:sz="4" w:space="0"/>
        </w:tcBorders>
        <w:shd w:val="clear" w:color="A9D08E"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A9D08E" w:fill="A9D08E" w:themeFill="accent6" w:themeFillTint="98"/>
      </w:tcPr>
    </w:tblStylePr>
    <w:tblStylePr w:type="band2Horz">
      <w:tblPr/>
      <w:tcPr>
        <w:tcBorders>
          <w:top w:val="single" w:color="FFFFFF" w:themeColor="light1" w:sz="4" w:space="0"/>
          <w:bottom w:val="single" w:color="FFFFFF" w:themeColor="light1" w:sz="4" w:space="0"/>
        </w:tcBorders>
        <w:shd w:val="clear" w:color="A9D08E" w:fill="A9D08E" w:themeFill="accent6" w:themeFillTint="98"/>
      </w:tcPr>
    </w:tblStylePr>
  </w:style>
  <w:style w:type="table" w:styleId="Tabelalisty6kolorowa">
    <w:name w:val="List Table 6 Colorful"/>
    <w:basedOn w:val="Standardowy"/>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blPr/>
      <w:tcPr>
        <w:tcBorders>
          <w:bottom w:val="single" w:color="7F7F7F" w:themeColor="text1" w:sz="4" w:space="0"/>
        </w:tcBorders>
      </w:tcPr>
    </w:tblStylePr>
    <w:tblStylePr w:type="lastRow">
      <w:rPr>
        <w:b/>
        <w:color w:val="000000" w:themeColor="text1"/>
      </w:rPr>
      <w:tblPr/>
      <w:tcPr>
        <w:tcBorders>
          <w:top w:val="single" w:color="7F7F7F" w:themeColor="text1" w:sz="4" w:space="0"/>
        </w:tcBorders>
      </w:tcPr>
    </w:tblStylePr>
    <w:tblStylePr w:type="firstCol">
      <w:rPr>
        <w:b/>
        <w:color w:val="000000" w:themeColor="text1"/>
      </w:rPr>
      <w:tblPr/>
    </w:tblStylePr>
    <w:tblStylePr w:type="lastCol">
      <w:rPr>
        <w:b/>
        <w:color w:val="000000" w:themeColor="text1"/>
      </w:rPr>
      <w:tbl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Pr/>
    </w:tblStylePr>
  </w:style>
  <w:style w:type="table" w:customStyle="1" w:styleId="ListTable6Colorful-Accent1">
    <w:name w:val="List Table 6 Colorful - Accent 1"/>
    <w:basedOn w:val="Standardowy"/>
    <w:uiPriority w:val="99"/>
    <w:pPr>
      <w:spacing w:after="0" w:line="240" w:lineRule="auto"/>
    </w:pPr>
    <w:tblPr>
      <w:tblStyleRowBandSize w:val="1"/>
      <w:tblStyleColBandSize w:val="1"/>
      <w:tblBorders>
        <w:top w:val="single" w:color="4472C4" w:themeColor="accent1" w:sz="4" w:space="0"/>
        <w:bottom w:val="single" w:color="4472C4" w:themeColor="accent1" w:sz="4" w:space="0"/>
      </w:tblBorders>
    </w:tblPr>
    <w:tblStylePr w:type="firstRow">
      <w:rPr>
        <w:b/>
        <w:color w:val="254175" w:themeColor="accent1" w:themeShade="95"/>
      </w:rPr>
      <w:tblPr/>
      <w:tcPr>
        <w:tcBorders>
          <w:bottom w:val="single" w:color="4472C4" w:themeColor="accent1" w:sz="4" w:space="0"/>
        </w:tcBorders>
      </w:tcPr>
    </w:tblStylePr>
    <w:tblStylePr w:type="lastRow">
      <w:rPr>
        <w:b/>
        <w:color w:val="254175" w:themeColor="accent1" w:themeShade="95"/>
      </w:rPr>
      <w:tblPr/>
      <w:tcPr>
        <w:tcBorders>
          <w:top w:val="single" w:color="4472C4" w:themeColor="accent1" w:sz="4" w:space="0"/>
        </w:tcBorders>
      </w:tcPr>
    </w:tblStylePr>
    <w:tblStylePr w:type="firstCol">
      <w:rPr>
        <w:b/>
        <w:color w:val="254175" w:themeColor="accent1" w:themeShade="95"/>
      </w:rPr>
      <w:tblPr/>
    </w:tblStylePr>
    <w:tblStylePr w:type="lastCol">
      <w:rPr>
        <w:b/>
        <w:color w:val="254175" w:themeColor="accent1" w:themeShade="95"/>
      </w:rPr>
      <w:tbl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Pr/>
    </w:tblStylePr>
  </w:style>
  <w:style w:type="table" w:customStyle="1" w:styleId="ListTable6Colorful-Accent2">
    <w:name w:val="List Table 6 Colorful - Accent 2"/>
    <w:basedOn w:val="Standardowy"/>
    <w:uiPriority w:val="99"/>
    <w:pPr>
      <w:spacing w:after="0" w:line="240" w:lineRule="auto"/>
    </w:pPr>
    <w:tblPr>
      <w:tblStyleRowBandSize w:val="1"/>
      <w:tblStyleColBandSize w:val="1"/>
      <w:tblBorders>
        <w:top w:val="single" w:color="F4B184" w:themeColor="accent2" w:themeTint="97" w:sz="4" w:space="0"/>
        <w:bottom w:val="single" w:color="F4B184" w:themeColor="accent2" w:themeTint="97" w:sz="4" w:space="0"/>
      </w:tblBorders>
    </w:tblPr>
    <w:tblStylePr w:type="firstRow">
      <w:rPr>
        <w:b/>
        <w:color w:val="f4b184" w:themeColor="accent2" w:themeTint="97" w:themeShade="95"/>
      </w:rPr>
      <w:tblPr/>
      <w:tcPr>
        <w:tcBorders>
          <w:bottom w:val="single" w:color="F4B184" w:themeColor="accent2" w:sz="4" w:space="0"/>
        </w:tcBorders>
      </w:tcPr>
    </w:tblStylePr>
    <w:tblStylePr w:type="lastRow">
      <w:rPr>
        <w:b/>
        <w:color w:val="f4b184" w:themeColor="accent2" w:themeTint="97" w:themeShade="95"/>
      </w:rPr>
      <w:tblPr/>
      <w:tcPr>
        <w:tcBorders>
          <w:top w:val="single" w:color="F4B184" w:themeColor="accent2" w:sz="4" w:space="0"/>
        </w:tcBorders>
      </w:tcPr>
    </w:tblStylePr>
    <w:tblStylePr w:type="firstCol">
      <w:rPr>
        <w:b/>
        <w:color w:val="f4b184" w:themeColor="accent2" w:themeTint="97" w:themeShade="95"/>
      </w:rPr>
      <w:tblPr/>
    </w:tblStylePr>
    <w:tblStylePr w:type="lastCol">
      <w:rPr>
        <w:b/>
        <w:color w:val="f4b184" w:themeColor="accent2" w:themeTint="97" w:themeShade="95"/>
      </w:rPr>
      <w:tbl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Pr/>
    </w:tblStylePr>
  </w:style>
  <w:style w:type="table" w:customStyle="1" w:styleId="ListTable6Colorful-Accent3">
    <w:name w:val="List Table 6 Colorful - Accent 3"/>
    <w:basedOn w:val="Standardowy"/>
    <w:uiPriority w:val="99"/>
    <w:pPr>
      <w:spacing w:after="0" w:line="240" w:lineRule="auto"/>
    </w:pPr>
    <w:tblPr>
      <w:tblStyleRowBandSize w:val="1"/>
      <w:tblStyleColBandSize w:val="1"/>
      <w:tblBorders>
        <w:top w:val="single" w:color="C9C9C9" w:themeColor="accent3" w:themeTint="98" w:sz="4" w:space="0"/>
        <w:bottom w:val="single" w:color="C9C9C9" w:themeColor="accent3" w:themeTint="98" w:sz="4" w:space="0"/>
      </w:tblBorders>
    </w:tblPr>
    <w:tblStylePr w:type="firstRow">
      <w:rPr>
        <w:b/>
        <w:color w:val="c9c9c9" w:themeColor="accent3" w:themeTint="98" w:themeShade="95"/>
      </w:rPr>
      <w:tblPr/>
      <w:tcPr>
        <w:tcBorders>
          <w:bottom w:val="single" w:color="C9C9C9" w:themeColor="accent3" w:sz="4" w:space="0"/>
        </w:tcBorders>
      </w:tcPr>
    </w:tblStylePr>
    <w:tblStylePr w:type="lastRow">
      <w:rPr>
        <w:b/>
        <w:color w:val="c9c9c9" w:themeColor="accent3" w:themeTint="98" w:themeShade="95"/>
      </w:rPr>
      <w:tblPr/>
      <w:tcPr>
        <w:tcBorders>
          <w:top w:val="single" w:color="C9C9C9" w:themeColor="accent3" w:sz="4" w:space="0"/>
        </w:tcBorders>
      </w:tcPr>
    </w:tblStylePr>
    <w:tblStylePr w:type="firstCol">
      <w:rPr>
        <w:b/>
        <w:color w:val="c9c9c9" w:themeColor="accent3" w:themeTint="98" w:themeShade="95"/>
      </w:rPr>
      <w:tblPr/>
    </w:tblStylePr>
    <w:tblStylePr w:type="lastCol">
      <w:rPr>
        <w:b/>
        <w:color w:val="c9c9c9" w:themeColor="accent3" w:themeTint="98" w:themeShade="95"/>
      </w:rPr>
      <w:tbl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Pr/>
    </w:tblStylePr>
  </w:style>
  <w:style w:type="table" w:customStyle="1" w:styleId="ListTable6Colorful-Accent4">
    <w:name w:val="List Table 6 Colorful - Accent 4"/>
    <w:basedOn w:val="Standardowy"/>
    <w:uiPriority w:val="99"/>
    <w:pPr>
      <w:spacing w:after="0" w:line="240" w:lineRule="auto"/>
    </w:pPr>
    <w:tblPr>
      <w:tblStyleRowBandSize w:val="1"/>
      <w:tblStyleColBandSize w:val="1"/>
      <w:tblBorders>
        <w:top w:val="single" w:color="FFD865" w:themeColor="accent4" w:themeTint="9a" w:sz="4" w:space="0"/>
        <w:bottom w:val="single" w:color="FFD865" w:themeColor="accent4" w:themeTint="9a" w:sz="4" w:space="0"/>
      </w:tblBorders>
    </w:tblPr>
    <w:tblStylePr w:type="firstRow">
      <w:rPr>
        <w:b/>
        <w:color w:val="ffd865" w:themeColor="accent4" w:themeTint="9a" w:themeShade="95"/>
      </w:rPr>
      <w:tblPr/>
      <w:tcPr>
        <w:tcBorders>
          <w:bottom w:val="single" w:color="FFD865" w:themeColor="accent4" w:sz="4" w:space="0"/>
        </w:tcBorders>
      </w:tcPr>
    </w:tblStylePr>
    <w:tblStylePr w:type="lastRow">
      <w:rPr>
        <w:b/>
        <w:color w:val="ffd865" w:themeColor="accent4" w:themeTint="9a" w:themeShade="95"/>
      </w:rPr>
      <w:tblPr/>
      <w:tcPr>
        <w:tcBorders>
          <w:top w:val="single" w:color="FFD865" w:themeColor="accent4" w:sz="4" w:space="0"/>
        </w:tcBorders>
      </w:tcPr>
    </w:tblStylePr>
    <w:tblStylePr w:type="firstCol">
      <w:rPr>
        <w:b/>
        <w:color w:val="ffd865" w:themeColor="accent4" w:themeTint="9a" w:themeShade="95"/>
      </w:rPr>
      <w:tblPr/>
    </w:tblStylePr>
    <w:tblStylePr w:type="lastCol">
      <w:rPr>
        <w:b/>
        <w:color w:val="ffd865" w:themeColor="accent4" w:themeTint="9a" w:themeShade="95"/>
      </w:rPr>
      <w:tbl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Pr/>
    </w:tblStylePr>
  </w:style>
  <w:style w:type="table" w:customStyle="1" w:styleId="ListTable6Colorful-Accent5">
    <w:name w:val="List Table 6 Colorful - Accent 5"/>
    <w:basedOn w:val="Standardowy"/>
    <w:uiPriority w:val="99"/>
    <w:pPr>
      <w:spacing w:after="0" w:line="240" w:lineRule="auto"/>
    </w:pPr>
    <w:tblPr>
      <w:tblStyleRowBandSize w:val="1"/>
      <w:tblStyleColBandSize w:val="1"/>
      <w:tblBorders>
        <w:top w:val="single" w:color="9BC2E5" w:themeColor="accent5" w:themeTint="9a" w:sz="4" w:space="0"/>
        <w:bottom w:val="single" w:color="9BC2E5" w:themeColor="accent5" w:themeTint="9a" w:sz="4" w:space="0"/>
      </w:tblBorders>
    </w:tblPr>
    <w:tblStylePr w:type="firstRow">
      <w:rPr>
        <w:b/>
        <w:color w:val="9bc2e5" w:themeColor="accent5" w:themeTint="9a" w:themeShade="95"/>
      </w:rPr>
      <w:tblPr/>
      <w:tcPr>
        <w:tcBorders>
          <w:bottom w:val="single" w:color="9BC2E5" w:themeColor="accent5" w:sz="4" w:space="0"/>
        </w:tcBorders>
      </w:tcPr>
    </w:tblStylePr>
    <w:tblStylePr w:type="lastRow">
      <w:rPr>
        <w:b/>
        <w:color w:val="9bc2e5" w:themeColor="accent5" w:themeTint="9a" w:themeShade="95"/>
      </w:rPr>
      <w:tblPr/>
      <w:tcPr>
        <w:tcBorders>
          <w:top w:val="single" w:color="9BC2E5" w:themeColor="accent5" w:sz="4" w:space="0"/>
        </w:tcBorders>
      </w:tcPr>
    </w:tblStylePr>
    <w:tblStylePr w:type="firstCol">
      <w:rPr>
        <w:b/>
        <w:color w:val="9bc2e5" w:themeColor="accent5" w:themeTint="9a" w:themeShade="95"/>
      </w:rPr>
      <w:tblPr/>
    </w:tblStylePr>
    <w:tblStylePr w:type="lastCol">
      <w:rPr>
        <w:b/>
        <w:color w:val="9bc2e5" w:themeColor="accent5" w:themeTint="9a" w:themeShade="95"/>
      </w:rPr>
      <w:tbl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Pr/>
    </w:tblStylePr>
  </w:style>
  <w:style w:type="table" w:customStyle="1" w:styleId="ListTable6Colorful-Accent6">
    <w:name w:val="List Table 6 Colorful - Accent 6"/>
    <w:basedOn w:val="Standardowy"/>
    <w:uiPriority w:val="99"/>
    <w:pPr>
      <w:spacing w:after="0" w:line="240" w:lineRule="auto"/>
    </w:pPr>
    <w:tblPr>
      <w:tblStyleRowBandSize w:val="1"/>
      <w:tblStyleColBandSize w:val="1"/>
      <w:tblBorders>
        <w:top w:val="single" w:color="A9D08E" w:themeColor="accent6" w:themeTint="98" w:sz="4" w:space="0"/>
        <w:bottom w:val="single" w:color="A9D08E" w:themeColor="accent6" w:themeTint="98" w:sz="4" w:space="0"/>
      </w:tblBorders>
    </w:tblPr>
    <w:tblStylePr w:type="firstRow">
      <w:rPr>
        <w:b/>
        <w:color w:val="a9d08e" w:themeColor="accent6" w:themeTint="98" w:themeShade="95"/>
      </w:rPr>
      <w:tblPr/>
      <w:tcPr>
        <w:tcBorders>
          <w:bottom w:val="single" w:color="A9D08E" w:themeColor="accent6" w:sz="4" w:space="0"/>
        </w:tcBorders>
      </w:tcPr>
    </w:tblStylePr>
    <w:tblStylePr w:type="lastRow">
      <w:rPr>
        <w:b/>
        <w:color w:val="a9d08e" w:themeColor="accent6" w:themeTint="98" w:themeShade="95"/>
      </w:rPr>
      <w:tblPr/>
      <w:tcPr>
        <w:tcBorders>
          <w:top w:val="single" w:color="A9D08E" w:themeColor="accent6" w:sz="4" w:space="0"/>
        </w:tcBorders>
      </w:tcPr>
    </w:tblStylePr>
    <w:tblStylePr w:type="firstCol">
      <w:rPr>
        <w:b/>
        <w:color w:val="a9d08e" w:themeColor="accent6" w:themeTint="98" w:themeShade="95"/>
      </w:rPr>
      <w:tblPr/>
    </w:tblStylePr>
    <w:tblStylePr w:type="lastCol">
      <w:rPr>
        <w:b/>
        <w:color w:val="a9d08e" w:themeColor="accent6" w:themeTint="98" w:themeShade="95"/>
      </w:rPr>
      <w:tbl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Pr/>
    </w:tblStylePr>
  </w:style>
  <w:style w:type="table" w:styleId="Tabelalisty7kolorowa">
    <w:name w:val="List Table 7 Colorful"/>
    <w:basedOn w:val="Standardowy"/>
    <w:uiPriority w:val="99"/>
    <w:pPr>
      <w:spacing w:after="0" w:line="240" w:lineRule="auto"/>
    </w:pPr>
    <w:tblPr>
      <w:tblStyleRowBandSize w:val="1"/>
      <w:tblStyleColBandSize w:val="1"/>
      <w:tblBorders>
        <w:right w:val="single" w:color="7F7F7F" w:themeColor="text1" w:themeTint="80" w:sz="4" w:space="0"/>
      </w:tblBorders>
    </w:tblPr>
    <w:tblStylePr w:type="firstRow">
      <w:rPr>
        <w:i/>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i/>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Pr/>
    </w:tblStylePr>
  </w:style>
  <w:style w:type="table" w:customStyle="1" w:styleId="ListTable7Colorful-Accent1">
    <w:name w:val="List Table 7 Colorful - Accent 1"/>
    <w:basedOn w:val="Standardowy"/>
    <w:uiPriority w:val="99"/>
    <w:pPr>
      <w:spacing w:after="0" w:line="240" w:lineRule="auto"/>
    </w:pPr>
    <w:tblPr>
      <w:tblStyleRowBandSize w:val="1"/>
      <w:tblStyleColBandSize w:val="1"/>
      <w:tblBorders>
        <w:right w:val="single" w:color="4472C4" w:themeColor="accent1" w:sz="4" w:space="0"/>
      </w:tblBorders>
    </w:tblPr>
    <w:tblStylePr w:type="firstRow">
      <w:rPr>
        <w:i/>
        <w:color w:val="254175" w:themeColor="accent1" w:themeShade="95"/>
        <w:sz w:val="22"/>
      </w:rPr>
      <w:tblPr/>
      <w:tcPr>
        <w:tcBorders>
          <w:top w:val="none" w:color="auto" w:sz="0" w:space="0"/>
          <w:left w:val="none" w:color="auto" w:sz="0" w:space="0"/>
          <w:bottom w:val="single" w:color="4472C4" w:themeColor="accent1" w:sz="4" w:space="0"/>
          <w:right w:val="none" w:color="auto" w:sz="0" w:space="0"/>
        </w:tcBorders>
        <w:shd w:val="clear" w:color="FFFFFF" w:fill="FFFFFF" w:themeFill="light1"/>
      </w:tcPr>
    </w:tblStylePr>
    <w:tblStylePr w:type="lastRow">
      <w:rPr>
        <w:i/>
        <w:color w:val="254175" w:themeColor="accent1" w:themeShade="95"/>
        <w:sz w:val="22"/>
      </w:rPr>
      <w:tblPr/>
      <w:tcPr>
        <w:tcBorders>
          <w:top w:val="single" w:color="4472C4"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54175" w:themeColor="accent1" w:themeShade="95"/>
        <w:sz w:val="22"/>
      </w:rPr>
      <w:tblPr/>
      <w:tcPr>
        <w:tcBorders>
          <w:top w:val="none" w:color="auto" w:sz="0" w:space="0"/>
          <w:left w:val="none" w:color="auto" w:sz="0" w:space="0"/>
          <w:bottom w:val="none" w:color="auto" w:sz="0" w:space="0"/>
          <w:right w:val="single" w:color="4472C4" w:themeColor="accent1" w:sz="4" w:space="0"/>
        </w:tcBorders>
        <w:shd w:val="clear" w:color="FFFFFF" w:fill="auto"/>
      </w:tcPr>
    </w:tblStylePr>
    <w:tblStylePr w:type="lastCol">
      <w:rPr>
        <w:i/>
        <w:color w:val="254175" w:themeColor="accent1" w:themeShade="95"/>
        <w:sz w:val="22"/>
      </w:rPr>
      <w:tblPr/>
      <w:tcPr>
        <w:tcBorders>
          <w:top w:val="none" w:color="auto" w:sz="0" w:space="0"/>
          <w:left w:val="single" w:color="4472C4" w:themeColor="accent1" w:sz="4" w:space="0"/>
          <w:bottom w:val="none" w:color="auto" w:sz="0" w:space="0"/>
          <w:right w:val="none" w:color="auto" w:sz="0" w:space="0"/>
        </w:tcBorders>
        <w:shd w:val="clear" w:color="FFFFFF" w:fill="auto"/>
      </w:tc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Pr/>
    </w:tblStylePr>
  </w:style>
  <w:style w:type="table" w:customStyle="1" w:styleId="ListTable7Colorful-Accent2">
    <w:name w:val="List Table 7 Colorful - Accent 2"/>
    <w:basedOn w:val="Standardowy"/>
    <w:uiPriority w:val="99"/>
    <w:pPr>
      <w:spacing w:after="0" w:line="240" w:lineRule="auto"/>
    </w:pPr>
    <w:tblPr>
      <w:tblStyleRowBandSize w:val="1"/>
      <w:tblStyleColBandSize w:val="1"/>
      <w:tblBorders>
        <w:right w:val="single" w:color="F4B184" w:themeColor="accent2" w:themeTint="97" w:sz="4" w:space="0"/>
      </w:tblBorders>
    </w:tblPr>
    <w:tblStylePr w:type="firstRow">
      <w:rPr>
        <w:i/>
        <w:color w:val="f4b184" w:themeColor="accent2" w:themeTint="97" w:themeShade="95"/>
        <w:sz w:val="22"/>
      </w:rPr>
      <w:tblPr/>
      <w:tcPr>
        <w:tcBorders>
          <w:top w:val="none" w:color="auto" w:sz="0" w:space="0"/>
          <w:left w:val="none" w:color="auto" w:sz="0" w:space="0"/>
          <w:bottom w:val="single" w:color="F4B184" w:themeColor="accent2" w:sz="4" w:space="0"/>
          <w:right w:val="none" w:color="auto" w:sz="0" w:space="0"/>
        </w:tcBorders>
        <w:shd w:val="clear" w:color="FFFFFF" w:fill="FFFFFF" w:themeFill="light1"/>
      </w:tcPr>
    </w:tblStylePr>
    <w:tblStylePr w:type="lastRow">
      <w:rPr>
        <w:i/>
        <w:color w:val="f4b184" w:themeColor="accent2" w:themeTint="97" w:themeShade="95"/>
        <w:sz w:val="22"/>
      </w:rPr>
      <w:tblPr/>
      <w:tcPr>
        <w:tcBorders>
          <w:top w:val="single" w:color="F4B184"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f4b184" w:themeColor="accent2" w:themeTint="97" w:themeShade="95"/>
        <w:sz w:val="22"/>
      </w:rPr>
      <w:tblPr/>
      <w:tcPr>
        <w:tcBorders>
          <w:top w:val="none" w:color="auto" w:sz="0" w:space="0"/>
          <w:left w:val="none" w:color="auto" w:sz="0" w:space="0"/>
          <w:bottom w:val="none" w:color="auto" w:sz="0" w:space="0"/>
          <w:right w:val="single" w:color="F4B184" w:themeColor="accent2" w:sz="4" w:space="0"/>
        </w:tcBorders>
        <w:shd w:val="clear" w:color="FFFFFF" w:fill="auto"/>
      </w:tcPr>
    </w:tblStylePr>
    <w:tblStylePr w:type="lastCol">
      <w:rPr>
        <w:i/>
        <w:color w:val="f4b184" w:themeColor="accent2" w:themeTint="97" w:themeShade="95"/>
        <w:sz w:val="22"/>
      </w:rPr>
      <w:tblPr/>
      <w:tcPr>
        <w:tcBorders>
          <w:top w:val="none" w:color="auto" w:sz="0" w:space="0"/>
          <w:left w:val="single" w:color="F4B184" w:themeColor="accent2" w:sz="4" w:space="0"/>
          <w:bottom w:val="none" w:color="auto" w:sz="0" w:space="0"/>
          <w:right w:val="none" w:color="auto" w:sz="0" w:space="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Pr/>
    </w:tblStylePr>
  </w:style>
  <w:style w:type="table" w:customStyle="1" w:styleId="ListTable7Colorful-Accent3">
    <w:name w:val="List Table 7 Colorful - Accent 3"/>
    <w:basedOn w:val="Standardowy"/>
    <w:uiPriority w:val="99"/>
    <w:pPr>
      <w:spacing w:after="0" w:line="240" w:lineRule="auto"/>
    </w:pPr>
    <w:tblPr>
      <w:tblStyleRowBandSize w:val="1"/>
      <w:tblStyleColBandSize w:val="1"/>
      <w:tblBorders>
        <w:right w:val="single" w:color="C9C9C9" w:themeColor="accent3" w:themeTint="98" w:sz="4" w:space="0"/>
      </w:tblBorders>
    </w:tblPr>
    <w:tblStylePr w:type="firstRow">
      <w:rPr>
        <w:i/>
        <w:color w:val="c9c9c9" w:themeColor="accent3" w:themeTint="98" w:themeShade="95"/>
        <w:sz w:val="22"/>
      </w:rPr>
      <w:tblPr/>
      <w:tcPr>
        <w:tcBorders>
          <w:top w:val="none" w:color="auto" w:sz="0" w:space="0"/>
          <w:left w:val="none" w:color="auto" w:sz="0" w:space="0"/>
          <w:bottom w:val="single" w:color="C9C9C9" w:themeColor="accent3" w:sz="4" w:space="0"/>
          <w:right w:val="none" w:color="auto" w:sz="0" w:space="0"/>
        </w:tcBorders>
        <w:shd w:val="clear" w:color="FFFFFF" w:fill="FFFFFF" w:themeFill="light1"/>
      </w:tcPr>
    </w:tblStylePr>
    <w:tblStylePr w:type="lastRow">
      <w:rPr>
        <w:i/>
        <w:color w:val="c9c9c9" w:themeColor="accent3" w:themeTint="98" w:themeShade="95"/>
        <w:sz w:val="22"/>
      </w:rPr>
      <w:tblPr/>
      <w:tcPr>
        <w:tcBorders>
          <w:top w:val="single" w:color="C9C9C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c9c9c9" w:themeColor="accent3" w:themeTint="98" w:themeShade="95"/>
        <w:sz w:val="22"/>
      </w:rPr>
      <w:tblPr/>
      <w:tcPr>
        <w:tcBorders>
          <w:top w:val="none" w:color="auto" w:sz="0" w:space="0"/>
          <w:left w:val="none" w:color="auto" w:sz="0" w:space="0"/>
          <w:bottom w:val="none" w:color="auto" w:sz="0" w:space="0"/>
          <w:right w:val="single" w:color="C9C9C9" w:themeColor="accent3" w:sz="4" w:space="0"/>
        </w:tcBorders>
        <w:shd w:val="clear" w:color="FFFFFF" w:fill="auto"/>
      </w:tcPr>
    </w:tblStylePr>
    <w:tblStylePr w:type="lastCol">
      <w:rPr>
        <w:i/>
        <w:color w:val="c9c9c9" w:themeColor="accent3" w:themeTint="98" w:themeShade="95"/>
        <w:sz w:val="22"/>
      </w:rPr>
      <w:tblPr/>
      <w:tcPr>
        <w:tcBorders>
          <w:top w:val="none" w:color="auto" w:sz="0" w:space="0"/>
          <w:left w:val="single" w:color="C9C9C9" w:themeColor="accent3" w:sz="4" w:space="0"/>
          <w:bottom w:val="none" w:color="auto" w:sz="0" w:space="0"/>
          <w:right w:val="none" w:color="auto" w:sz="0" w:space="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Pr/>
    </w:tblStylePr>
  </w:style>
  <w:style w:type="table" w:customStyle="1" w:styleId="ListTable7Colorful-Accent4">
    <w:name w:val="List Table 7 Colorful - Accent 4"/>
    <w:basedOn w:val="Standardowy"/>
    <w:uiPriority w:val="99"/>
    <w:pPr>
      <w:spacing w:after="0" w:line="240" w:lineRule="auto"/>
    </w:pPr>
    <w:tblPr>
      <w:tblStyleRowBandSize w:val="1"/>
      <w:tblStyleColBandSize w:val="1"/>
      <w:tblBorders>
        <w:right w:val="single" w:color="FFD865" w:themeColor="accent4" w:themeTint="9a" w:sz="4" w:space="0"/>
      </w:tblBorders>
    </w:tblPr>
    <w:tblStylePr w:type="firstRow">
      <w:rPr>
        <w:i/>
        <w:color w:val="ffd865" w:themeColor="accent4" w:themeTint="9a" w:themeShade="95"/>
        <w:sz w:val="22"/>
      </w:rPr>
      <w:tblPr/>
      <w:tcPr>
        <w:tcBorders>
          <w:top w:val="none" w:color="auto" w:sz="0" w:space="0"/>
          <w:left w:val="none" w:color="auto" w:sz="0" w:space="0"/>
          <w:bottom w:val="single" w:color="FFD865" w:themeColor="accent4" w:sz="4" w:space="0"/>
          <w:right w:val="none" w:color="auto" w:sz="0" w:space="0"/>
        </w:tcBorders>
        <w:shd w:val="clear" w:color="FFFFFF" w:fill="FFFFFF" w:themeFill="light1"/>
      </w:tcPr>
    </w:tblStylePr>
    <w:tblStylePr w:type="lastRow">
      <w:rPr>
        <w:i/>
        <w:color w:val="ffd865" w:themeColor="accent4" w:themeTint="9a" w:themeShade="95"/>
        <w:sz w:val="22"/>
      </w:rPr>
      <w:tblPr/>
      <w:tcPr>
        <w:tcBorders>
          <w:top w:val="single" w:color="FFD865"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ffd865" w:themeColor="accent4" w:themeTint="9a" w:themeShade="95"/>
        <w:sz w:val="22"/>
      </w:rPr>
      <w:tblPr/>
      <w:tcPr>
        <w:tcBorders>
          <w:top w:val="none" w:color="auto" w:sz="0" w:space="0"/>
          <w:left w:val="none" w:color="auto" w:sz="0" w:space="0"/>
          <w:bottom w:val="none" w:color="auto" w:sz="0" w:space="0"/>
          <w:right w:val="single" w:color="FFD865" w:themeColor="accent4" w:sz="4" w:space="0"/>
        </w:tcBorders>
        <w:shd w:val="clear" w:color="FFFFFF" w:fill="auto"/>
      </w:tcPr>
    </w:tblStylePr>
    <w:tblStylePr w:type="lastCol">
      <w:rPr>
        <w:i/>
        <w:color w:val="ffd865" w:themeColor="accent4" w:themeTint="9a" w:themeShade="95"/>
        <w:sz w:val="22"/>
      </w:rPr>
      <w:tblPr/>
      <w:tcPr>
        <w:tcBorders>
          <w:top w:val="none" w:color="auto" w:sz="0" w:space="0"/>
          <w:left w:val="single" w:color="FFD865" w:themeColor="accent4" w:sz="4" w:space="0"/>
          <w:bottom w:val="none" w:color="auto" w:sz="0" w:space="0"/>
          <w:right w:val="none" w:color="auto" w:sz="0" w:space="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Pr/>
    </w:tblStylePr>
  </w:style>
  <w:style w:type="table" w:customStyle="1" w:styleId="ListTable7Colorful-Accent5">
    <w:name w:val="List Table 7 Colorful - Accent 5"/>
    <w:basedOn w:val="Standardowy"/>
    <w:uiPriority w:val="99"/>
    <w:pPr>
      <w:spacing w:after="0" w:line="240" w:lineRule="auto"/>
    </w:pPr>
    <w:tblPr>
      <w:tblStyleRowBandSize w:val="1"/>
      <w:tblStyleColBandSize w:val="1"/>
      <w:tblBorders>
        <w:right w:val="single" w:color="9BC2E5" w:themeColor="accent5" w:themeTint="9a" w:sz="4" w:space="0"/>
      </w:tblBorders>
    </w:tblPr>
    <w:tblStylePr w:type="firstRow">
      <w:rPr>
        <w:i/>
        <w:color w:val="9bc2e5" w:themeColor="accent5" w:themeTint="9a" w:themeShade="95"/>
        <w:sz w:val="22"/>
      </w:rPr>
      <w:tblPr/>
      <w:tcPr>
        <w:tcBorders>
          <w:top w:val="none" w:color="auto" w:sz="0" w:space="0"/>
          <w:left w:val="none" w:color="auto" w:sz="0" w:space="0"/>
          <w:bottom w:val="single" w:color="9BC2E5" w:themeColor="accent5" w:sz="4" w:space="0"/>
          <w:right w:val="none" w:color="auto" w:sz="0" w:space="0"/>
        </w:tcBorders>
        <w:shd w:val="clear" w:color="FFFFFF" w:fill="FFFFFF" w:themeFill="light1"/>
      </w:tcPr>
    </w:tblStylePr>
    <w:tblStylePr w:type="lastRow">
      <w:rPr>
        <w:i/>
        <w:color w:val="9bc2e5" w:themeColor="accent5" w:themeTint="9a" w:themeShade="95"/>
        <w:sz w:val="22"/>
      </w:rPr>
      <w:tblPr/>
      <w:tcPr>
        <w:tcBorders>
          <w:top w:val="single" w:color="9BC2E5"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bc2e5" w:themeColor="accent5" w:themeTint="9a" w:themeShade="95"/>
        <w:sz w:val="22"/>
      </w:rPr>
      <w:tblPr/>
      <w:tcPr>
        <w:tcBorders>
          <w:top w:val="none" w:color="auto" w:sz="0" w:space="0"/>
          <w:left w:val="none" w:color="auto" w:sz="0" w:space="0"/>
          <w:bottom w:val="none" w:color="auto" w:sz="0" w:space="0"/>
          <w:right w:val="single" w:color="9BC2E5" w:themeColor="accent5" w:sz="4" w:space="0"/>
        </w:tcBorders>
        <w:shd w:val="clear" w:color="FFFFFF" w:fill="auto"/>
      </w:tcPr>
    </w:tblStylePr>
    <w:tblStylePr w:type="lastCol">
      <w:rPr>
        <w:i/>
        <w:color w:val="9bc2e5" w:themeColor="accent5" w:themeTint="9a" w:themeShade="95"/>
        <w:sz w:val="22"/>
      </w:rPr>
      <w:tblPr/>
      <w:tcPr>
        <w:tcBorders>
          <w:top w:val="none" w:color="auto" w:sz="0" w:space="0"/>
          <w:left w:val="single" w:color="9BC2E5" w:themeColor="accent5" w:sz="4" w:space="0"/>
          <w:bottom w:val="none" w:color="auto" w:sz="0" w:space="0"/>
          <w:right w:val="none" w:color="auto" w:sz="0" w:space="0"/>
        </w:tcBorders>
        <w:shd w:val="clear" w:color="FFFFFF" w:fill="auto"/>
      </w:tc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Pr/>
    </w:tblStylePr>
  </w:style>
  <w:style w:type="table" w:customStyle="1" w:styleId="ListTable7Colorful-Accent6">
    <w:name w:val="List Table 7 Colorful - Accent 6"/>
    <w:basedOn w:val="Standardowy"/>
    <w:uiPriority w:val="99"/>
    <w:pPr>
      <w:spacing w:after="0" w:line="240" w:lineRule="auto"/>
    </w:pPr>
    <w:tblPr>
      <w:tblStyleRowBandSize w:val="1"/>
      <w:tblStyleColBandSize w:val="1"/>
      <w:tblBorders>
        <w:right w:val="single" w:color="A9D08E" w:themeColor="accent6" w:themeTint="98" w:sz="4" w:space="0"/>
      </w:tblBorders>
    </w:tblPr>
    <w:tblStylePr w:type="firstRow">
      <w:rPr>
        <w:i/>
        <w:color w:val="a9d08e" w:themeColor="accent6" w:themeTint="98" w:themeShade="95"/>
        <w:sz w:val="22"/>
      </w:rPr>
      <w:tblPr/>
      <w:tcPr>
        <w:tcBorders>
          <w:top w:val="none" w:color="auto" w:sz="0" w:space="0"/>
          <w:left w:val="none" w:color="auto" w:sz="0" w:space="0"/>
          <w:bottom w:val="single" w:color="A9D08E" w:themeColor="accent6" w:sz="4" w:space="0"/>
          <w:right w:val="none" w:color="auto" w:sz="0" w:space="0"/>
        </w:tcBorders>
        <w:shd w:val="clear" w:color="FFFFFF" w:fill="FFFFFF" w:themeFill="light1"/>
      </w:tcPr>
    </w:tblStylePr>
    <w:tblStylePr w:type="lastRow">
      <w:rPr>
        <w:i/>
        <w:color w:val="a9d08e" w:themeColor="accent6" w:themeTint="98" w:themeShade="95"/>
        <w:sz w:val="22"/>
      </w:rPr>
      <w:tblPr/>
      <w:tcPr>
        <w:tcBorders>
          <w:top w:val="single" w:color="A9D08E"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a9d08e" w:themeColor="accent6" w:themeTint="98" w:themeShade="95"/>
        <w:sz w:val="22"/>
      </w:rPr>
      <w:tblPr/>
      <w:tcPr>
        <w:tcBorders>
          <w:top w:val="none" w:color="auto" w:sz="0" w:space="0"/>
          <w:left w:val="none" w:color="auto" w:sz="0" w:space="0"/>
          <w:bottom w:val="none" w:color="auto" w:sz="0" w:space="0"/>
          <w:right w:val="single" w:color="A9D08E" w:themeColor="accent6" w:sz="4" w:space="0"/>
        </w:tcBorders>
        <w:shd w:val="clear" w:color="FFFFFF" w:fill="auto"/>
      </w:tcPr>
    </w:tblStylePr>
    <w:tblStylePr w:type="lastCol">
      <w:rPr>
        <w:i/>
        <w:color w:val="a9d08e" w:themeColor="accent6" w:themeTint="98" w:themeShade="95"/>
        <w:sz w:val="22"/>
      </w:rPr>
      <w:tblPr/>
      <w:tcPr>
        <w:tcBorders>
          <w:top w:val="none" w:color="auto" w:sz="0" w:space="0"/>
          <w:left w:val="single" w:color="A9D08E" w:themeColor="accent6" w:sz="4" w:space="0"/>
          <w:bottom w:val="none" w:color="auto" w:sz="0" w:space="0"/>
          <w:right w:val="none" w:color="auto" w:sz="0" w:space="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Pr/>
    </w:tblStylePr>
  </w:style>
  <w:style w:type="table" w:customStyle="1" w:styleId="Lined-Accent">
    <w:name w:val="Lined - Accent"/>
    <w:basedOn w:val="Standardowy"/>
    <w:uiPriority w:val="99"/>
    <w:pPr>
      <w:spacing w:after="0" w:line="240" w:lineRule="auto"/>
    </w:pPr>
    <w:rPr>
      <w:sz w:val="20"/>
      <w:szCs w:val="20"/>
      <w:lang w:eastAsia="pl-PL"/>
    </w:rPr>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Lined-Accent1">
    <w:name w:val="Lined - Accent 1"/>
    <w:basedOn w:val="Standardowy"/>
    <w:uiPriority w:val="99"/>
    <w:pPr>
      <w:spacing w:after="0" w:line="240" w:lineRule="auto"/>
    </w:pPr>
    <w:rPr>
      <w:sz w:val="20"/>
      <w:szCs w:val="20"/>
      <w:lang w:eastAsia="pl-PL"/>
    </w:rPr>
    <w:tblPr>
      <w:tblStyleRowBandSize w:val="1"/>
      <w:tblStyleColBandSize w:val="1"/>
    </w:tblPr>
    <w:tblStylePr w:type="firstRow">
      <w:rPr>
        <w:sz w:val="22"/>
      </w:rPr>
      <w:tblPr/>
      <w:tcPr>
        <w:shd w:val="clear" w:color="537DC8" w:fill="537DC8" w:themeFill="accent1" w:themeFillTint="ea"/>
      </w:tcPr>
    </w:tblStylePr>
    <w:tblStylePr w:type="lastRow">
      <w:rPr>
        <w:sz w:val="22"/>
      </w:rPr>
      <w:tblPr/>
      <w:tcPr>
        <w:shd w:val="clear" w:color="537DC8" w:fill="537DC8" w:themeFill="accent1" w:themeFillTint="ea"/>
      </w:tcPr>
    </w:tblStylePr>
    <w:tblStylePr w:type="firstCol">
      <w:rPr>
        <w:sz w:val="22"/>
      </w:rPr>
      <w:tblPr/>
      <w:tcPr>
        <w:shd w:val="clear" w:color="537DC8" w:fill="537DC8" w:themeFill="accent1" w:themeFillTint="ea"/>
      </w:tcPr>
    </w:tblStylePr>
    <w:tblStylePr w:type="lastCol">
      <w:rPr>
        <w:sz w:val="22"/>
      </w:rPr>
      <w:tblPr/>
      <w:tcPr>
        <w:shd w:val="clear" w:color="537DC8" w:fill="537DC8" w:themeFill="accent1" w:themeFillTint="ea"/>
      </w:tcPr>
    </w:tblStylePr>
    <w:tblStylePr w:type="band1Vert">
      <w:rPr>
        <w:sz w:val="22"/>
      </w:rPr>
      <w:tblPr/>
    </w:tblStylePr>
    <w:tblStylePr w:type="band2Vert">
      <w:rPr>
        <w:sz w:val="22"/>
      </w:rPr>
      <w:tblPr/>
      <w:tcPr>
        <w:shd w:val="clear" w:color="C4D2EC" w:fill="C4D2EC" w:themeFill="accent1" w:themeFillTint="50"/>
      </w:tcPr>
    </w:tblStylePr>
    <w:tblStylePr w:type="band1Horz">
      <w:rPr>
        <w:sz w:val="22"/>
      </w:rPr>
      <w:tblPr/>
    </w:tblStylePr>
    <w:tblStylePr w:type="band2Horz">
      <w:rPr>
        <w:sz w:val="22"/>
      </w:rPr>
      <w:tblPr/>
      <w:tcPr>
        <w:shd w:val="clear" w:color="C4D2EC" w:fill="C4D2EC" w:themeFill="accent1" w:themeFillTint="50"/>
      </w:tcPr>
    </w:tblStylePr>
  </w:style>
  <w:style w:type="table" w:customStyle="1" w:styleId="Lined-Accent2">
    <w:name w:val="Lined - Accent 2"/>
    <w:basedOn w:val="Standardowy"/>
    <w:uiPriority w:val="99"/>
    <w:pPr>
      <w:spacing w:after="0" w:line="240" w:lineRule="auto"/>
    </w:pPr>
    <w:rPr>
      <w:sz w:val="20"/>
      <w:szCs w:val="20"/>
      <w:lang w:eastAsia="pl-PL"/>
    </w:rPr>
    <w:tblPr>
      <w:tblStyleRowBandSize w:val="1"/>
      <w:tblStyleColBandSize w:val="1"/>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Pr/>
    </w:tblStylePr>
    <w:tblStylePr w:type="band2Vert">
      <w:rPr>
        <w:sz w:val="22"/>
      </w:rPr>
      <w:tblPr/>
      <w:tcPr>
        <w:shd w:val="clear" w:color="FBE5D6" w:fill="FBE5D6" w:themeFill="accent2" w:themeFillTint="32"/>
      </w:tcPr>
    </w:tblStylePr>
    <w:tblStylePr w:type="band1Horz">
      <w:rPr>
        <w:sz w:val="22"/>
      </w:rPr>
      <w:tblPr/>
    </w:tblStylePr>
    <w:tblStylePr w:type="band2Horz">
      <w:rPr>
        <w:sz w:val="22"/>
      </w:rPr>
      <w:tblPr/>
      <w:tcPr>
        <w:shd w:val="clear" w:color="FBE5D6" w:fill="FBE5D6" w:themeFill="accent2" w:themeFillTint="32"/>
      </w:tcPr>
    </w:tblStylePr>
  </w:style>
  <w:style w:type="table" w:customStyle="1" w:styleId="Lined-Accent3">
    <w:name w:val="Lined - Accent 3"/>
    <w:basedOn w:val="Standardowy"/>
    <w:uiPriority w:val="99"/>
    <w:pPr>
      <w:spacing w:after="0" w:line="240" w:lineRule="auto"/>
    </w:pPr>
    <w:rPr>
      <w:sz w:val="20"/>
      <w:szCs w:val="20"/>
      <w:lang w:eastAsia="pl-PL"/>
    </w:rPr>
    <w:tblPr>
      <w:tblStyleRowBandSize w:val="1"/>
      <w:tblStyleColBandSize w:val="1"/>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Pr/>
    </w:tblStylePr>
    <w:tblStylePr w:type="band2Vert">
      <w:rPr>
        <w:sz w:val="22"/>
      </w:rPr>
      <w:tblPr/>
      <w:tcPr>
        <w:shd w:val="clear" w:color="ECECEC" w:fill="ECECEC" w:themeFill="accent3" w:themeFillTint="34"/>
      </w:tcPr>
    </w:tblStylePr>
    <w:tblStylePr w:type="band1Horz">
      <w:rPr>
        <w:sz w:val="22"/>
      </w:rPr>
      <w:tblPr/>
    </w:tblStylePr>
    <w:tblStylePr w:type="band2Horz">
      <w:rPr>
        <w:sz w:val="22"/>
      </w:rPr>
      <w:tblPr/>
      <w:tcPr>
        <w:shd w:val="clear" w:color="ECECEC" w:fill="ECECEC" w:themeFill="accent3" w:themeFillTint="34"/>
      </w:tcPr>
    </w:tblStylePr>
  </w:style>
  <w:style w:type="table" w:customStyle="1" w:styleId="Lined-Accent4">
    <w:name w:val="Lined - Accent 4"/>
    <w:basedOn w:val="Standardowy"/>
    <w:uiPriority w:val="99"/>
    <w:pPr>
      <w:spacing w:after="0" w:line="240" w:lineRule="auto"/>
    </w:pPr>
    <w:rPr>
      <w:sz w:val="20"/>
      <w:szCs w:val="20"/>
      <w:lang w:eastAsia="pl-PL"/>
    </w:rPr>
    <w:tblPr>
      <w:tblStyleRowBandSize w:val="1"/>
      <w:tblStyleColBandSize w:val="1"/>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Pr/>
    </w:tblStylePr>
    <w:tblStylePr w:type="band2Vert">
      <w:rPr>
        <w:sz w:val="22"/>
      </w:rPr>
      <w:tblPr/>
      <w:tcPr>
        <w:shd w:val="clear" w:color="FFF2CB" w:fill="FFF2CB" w:themeFill="accent4" w:themeFillTint="34"/>
      </w:tcPr>
    </w:tblStylePr>
    <w:tblStylePr w:type="band1Horz">
      <w:rPr>
        <w:sz w:val="22"/>
      </w:rPr>
      <w:tblPr/>
    </w:tblStylePr>
    <w:tblStylePr w:type="band2Horz">
      <w:rPr>
        <w:sz w:val="22"/>
      </w:rPr>
      <w:tblPr/>
      <w:tcPr>
        <w:shd w:val="clear" w:color="FFF2CB" w:fill="FFF2CB" w:themeFill="accent4" w:themeFillTint="34"/>
      </w:tcPr>
    </w:tblStylePr>
  </w:style>
  <w:style w:type="table" w:customStyle="1" w:styleId="Lined-Accent5">
    <w:name w:val="Lined - Accent 5"/>
    <w:basedOn w:val="Standardowy"/>
    <w:uiPriority w:val="99"/>
    <w:pPr>
      <w:spacing w:after="0" w:line="240" w:lineRule="auto"/>
    </w:pPr>
    <w:rPr>
      <w:sz w:val="20"/>
      <w:szCs w:val="20"/>
      <w:lang w:eastAsia="pl-PL"/>
    </w:rPr>
    <w:tblPr>
      <w:tblStyleRowBandSize w:val="1"/>
      <w:tblStyleColBandSize w:val="1"/>
    </w:tblPr>
    <w:tblStylePr w:type="firstRow">
      <w:rPr>
        <w:sz w:val="22"/>
      </w:rPr>
      <w:tblPr/>
      <w:tcPr>
        <w:shd w:val="clear" w:color="5B9BD5" w:fill="5B9BD5" w:themeFill="accent5"/>
      </w:tcPr>
    </w:tblStylePr>
    <w:tblStylePr w:type="lastRow">
      <w:rPr>
        <w:sz w:val="22"/>
      </w:rPr>
      <w:tblPr/>
      <w:tcPr>
        <w:shd w:val="clear" w:color="5B9BD5" w:fill="5B9BD5" w:themeFill="accent5"/>
      </w:tcPr>
    </w:tblStylePr>
    <w:tblStylePr w:type="firstCol">
      <w:rPr>
        <w:sz w:val="22"/>
      </w:rPr>
      <w:tblPr/>
      <w:tcPr>
        <w:shd w:val="clear" w:color="5B9BD5" w:fill="5B9BD5" w:themeFill="accent5"/>
      </w:tcPr>
    </w:tblStylePr>
    <w:tblStylePr w:type="lastCol">
      <w:rPr>
        <w:sz w:val="22"/>
      </w:rPr>
      <w:tblPr/>
      <w:tcPr>
        <w:shd w:val="clear" w:color="5B9BD5" w:fill="5B9BD5" w:themeFill="accent5"/>
      </w:tcPr>
    </w:tblStylePr>
    <w:tblStylePr w:type="band1Vert">
      <w:rPr>
        <w:sz w:val="22"/>
      </w:rPr>
      <w:tblPr/>
    </w:tblStylePr>
    <w:tblStylePr w:type="band2Vert">
      <w:rPr>
        <w:sz w:val="22"/>
      </w:rPr>
      <w:tblPr/>
      <w:tcPr>
        <w:shd w:val="clear" w:color="DDEAF6" w:fill="DDEAF6" w:themeFill="accent5" w:themeFillTint="34"/>
      </w:tcPr>
    </w:tblStylePr>
    <w:tblStylePr w:type="band1Horz">
      <w:rPr>
        <w:sz w:val="22"/>
      </w:rPr>
      <w:tblPr/>
    </w:tblStylePr>
    <w:tblStylePr w:type="band2Horz">
      <w:rPr>
        <w:sz w:val="22"/>
      </w:rPr>
      <w:tblPr/>
      <w:tcPr>
        <w:shd w:val="clear" w:color="DDEAF6" w:fill="DDEAF6" w:themeFill="accent5" w:themeFillTint="34"/>
      </w:tcPr>
    </w:tblStylePr>
  </w:style>
  <w:style w:type="table" w:customStyle="1" w:styleId="Lined-Accent6">
    <w:name w:val="Lined - Accent 6"/>
    <w:basedOn w:val="Standardowy"/>
    <w:uiPriority w:val="99"/>
    <w:pPr>
      <w:spacing w:after="0" w:line="240" w:lineRule="auto"/>
    </w:pPr>
    <w:rPr>
      <w:sz w:val="20"/>
      <w:szCs w:val="20"/>
      <w:lang w:eastAsia="pl-PL"/>
    </w:rPr>
    <w:tblPr>
      <w:tblStyleRowBandSize w:val="1"/>
      <w:tblStyleColBandSize w:val="1"/>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Pr/>
    </w:tblStylePr>
    <w:tblStylePr w:type="band2Vert">
      <w:rPr>
        <w:sz w:val="22"/>
      </w:rPr>
      <w:tblPr/>
      <w:tcPr>
        <w:shd w:val="clear" w:color="E1EFD8" w:fill="E1EFD8" w:themeFill="accent6" w:themeFillTint="34"/>
      </w:tcPr>
    </w:tblStylePr>
    <w:tblStylePr w:type="band1Horz">
      <w:rPr>
        <w:sz w:val="22"/>
      </w:rPr>
      <w:tbl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Standardowy"/>
    <w:uiPriority w:val="99"/>
    <w:pPr>
      <w:spacing w:after="0" w:line="240" w:lineRule="auto"/>
    </w:pPr>
    <w:rPr>
      <w:sz w:val="20"/>
      <w:szCs w:val="20"/>
      <w:lang w:eastAsia="pl-PL"/>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BorderedLined-Accent1">
    <w:name w:val="Bordered &amp; Lined - Accent 1"/>
    <w:basedOn w:val="Standardowy"/>
    <w:uiPriority w:val="99"/>
    <w:pPr>
      <w:spacing w:after="0" w:line="240" w:lineRule="auto"/>
    </w:pPr>
    <w:rPr>
      <w:sz w:val="20"/>
      <w:szCs w:val="20"/>
      <w:lang w:eastAsia="pl-PL"/>
    </w:rPr>
    <w:tblPr>
      <w:tblStyleRowBandSize w:val="1"/>
      <w:tblStyleColBandSize w:val="1"/>
      <w:tblBorders>
        <w:top w:val="single" w:color="254175" w:themeColor="accent1" w:sz="4" w:space="0"/>
        <w:left w:val="single" w:color="254175" w:themeColor="accent1" w:sz="4" w:space="0"/>
        <w:bottom w:val="single" w:color="254175" w:themeColor="accent1" w:sz="4" w:space="0"/>
        <w:right w:val="single" w:color="254175" w:themeColor="accent1" w:sz="4" w:space="0"/>
        <w:insideH w:val="single" w:color="254175" w:themeColor="accent1" w:sz="4" w:space="0"/>
        <w:insideV w:val="single" w:color="254175" w:themeColor="accent1" w:sz="4" w:space="0"/>
      </w:tblBorders>
    </w:tblPr>
    <w:tblStylePr w:type="firstRow">
      <w:rPr>
        <w:sz w:val="22"/>
      </w:rPr>
      <w:tblPr/>
      <w:tcPr>
        <w:shd w:val="clear" w:color="537DC8" w:fill="537DC8" w:themeFill="accent1" w:themeFillTint="ea"/>
      </w:tcPr>
    </w:tblStylePr>
    <w:tblStylePr w:type="lastRow">
      <w:rPr>
        <w:sz w:val="22"/>
      </w:rPr>
      <w:tblPr/>
      <w:tcPr>
        <w:shd w:val="clear" w:color="537DC8" w:fill="537DC8" w:themeFill="accent1" w:themeFillTint="ea"/>
      </w:tcPr>
    </w:tblStylePr>
    <w:tblStylePr w:type="firstCol">
      <w:rPr>
        <w:sz w:val="22"/>
      </w:rPr>
      <w:tblPr/>
      <w:tcPr>
        <w:shd w:val="clear" w:color="537DC8" w:fill="537DC8" w:themeFill="accent1" w:themeFillTint="ea"/>
      </w:tcPr>
    </w:tblStylePr>
    <w:tblStylePr w:type="lastCol">
      <w:rPr>
        <w:sz w:val="22"/>
      </w:rPr>
      <w:tblPr/>
      <w:tcPr>
        <w:shd w:val="clear" w:color="537DC8" w:fill="537DC8" w:themeFill="accent1" w:themeFillTint="ea"/>
      </w:tcPr>
    </w:tblStylePr>
    <w:tblStylePr w:type="band1Vert">
      <w:rPr>
        <w:sz w:val="22"/>
      </w:rPr>
      <w:tblPr/>
    </w:tblStylePr>
    <w:tblStylePr w:type="band2Vert">
      <w:rPr>
        <w:sz w:val="22"/>
      </w:rPr>
      <w:tblPr/>
      <w:tcPr>
        <w:shd w:val="clear" w:color="C4D2EC" w:fill="C4D2EC" w:themeFill="accent1" w:themeFillTint="50"/>
      </w:tcPr>
    </w:tblStylePr>
    <w:tblStylePr w:type="band1Horz">
      <w:rPr>
        <w:sz w:val="22"/>
      </w:rPr>
      <w:tblPr/>
    </w:tblStylePr>
    <w:tblStylePr w:type="band2Horz">
      <w:rPr>
        <w:sz w:val="22"/>
      </w:rPr>
      <w:tblPr/>
      <w:tcPr>
        <w:shd w:val="clear" w:color="C4D2EC" w:fill="C4D2EC" w:themeFill="accent1" w:themeFillTint="50"/>
      </w:tcPr>
    </w:tblStylePr>
  </w:style>
  <w:style w:type="table" w:customStyle="1" w:styleId="BorderedLined-Accent2">
    <w:name w:val="Bordered &amp; Lined - Accent 2"/>
    <w:basedOn w:val="Standardowy"/>
    <w:uiPriority w:val="99"/>
    <w:pPr>
      <w:spacing w:after="0" w:line="240" w:lineRule="auto"/>
    </w:pPr>
    <w:rPr>
      <w:sz w:val="20"/>
      <w:szCs w:val="20"/>
      <w:lang w:eastAsia="pl-PL"/>
    </w:rPr>
    <w:tblPr>
      <w:tblStyleRowBandSize w:val="1"/>
      <w:tblStyleColBandSize w:val="1"/>
      <w:tblBorders>
        <w:top w:val="single" w:color="99460D" w:themeColor="accent2" w:sz="4" w:space="0"/>
        <w:left w:val="single" w:color="99460D" w:themeColor="accent2" w:sz="4" w:space="0"/>
        <w:bottom w:val="single" w:color="99460D" w:themeColor="accent2" w:sz="4" w:space="0"/>
        <w:right w:val="single" w:color="99460D" w:themeColor="accent2" w:sz="4" w:space="0"/>
        <w:insideH w:val="single" w:color="99460D" w:themeColor="accent2" w:sz="4" w:space="0"/>
        <w:insideV w:val="single" w:color="99460D" w:themeColor="accent2" w:sz="4" w:space="0"/>
      </w:tblBorders>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Pr/>
    </w:tblStylePr>
    <w:tblStylePr w:type="band2Vert">
      <w:rPr>
        <w:sz w:val="22"/>
      </w:rPr>
      <w:tblPr/>
      <w:tcPr>
        <w:shd w:val="clear" w:color="FBE5D6" w:fill="FBE5D6" w:themeFill="accent2" w:themeFillTint="32"/>
      </w:tcPr>
    </w:tblStylePr>
    <w:tblStylePr w:type="band1Horz">
      <w:rPr>
        <w:sz w:val="22"/>
      </w:rPr>
      <w:tbl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Standardowy"/>
    <w:uiPriority w:val="99"/>
    <w:pPr>
      <w:spacing w:after="0" w:line="240" w:lineRule="auto"/>
    </w:pPr>
    <w:rPr>
      <w:sz w:val="20"/>
      <w:szCs w:val="20"/>
      <w:lang w:eastAsia="pl-PL"/>
    </w:rPr>
    <w:tblPr>
      <w:tblStyleRowBandSize w:val="1"/>
      <w:tblStyleColBandSize w:val="1"/>
      <w:tblBorders>
        <w:top w:val="single" w:color="606060" w:themeColor="accent3" w:sz="4" w:space="0"/>
        <w:left w:val="single" w:color="606060" w:themeColor="accent3" w:sz="4" w:space="0"/>
        <w:bottom w:val="single" w:color="606060" w:themeColor="accent3" w:sz="4" w:space="0"/>
        <w:right w:val="single" w:color="606060" w:themeColor="accent3" w:sz="4" w:space="0"/>
        <w:insideH w:val="single" w:color="606060" w:themeColor="accent3" w:sz="4" w:space="0"/>
        <w:insideV w:val="single" w:color="606060" w:themeColor="accent3" w:sz="4" w:space="0"/>
      </w:tblBorders>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Pr/>
    </w:tblStylePr>
    <w:tblStylePr w:type="band2Vert">
      <w:rPr>
        <w:sz w:val="22"/>
      </w:rPr>
      <w:tblPr/>
      <w:tcPr>
        <w:shd w:val="clear" w:color="ECECEC" w:fill="ECECEC" w:themeFill="accent3" w:themeFillTint="34"/>
      </w:tcPr>
    </w:tblStylePr>
    <w:tblStylePr w:type="band1Horz">
      <w:rPr>
        <w:sz w:val="22"/>
      </w:rPr>
      <w:tbl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Standardowy"/>
    <w:uiPriority w:val="99"/>
    <w:pPr>
      <w:spacing w:after="0" w:line="240" w:lineRule="auto"/>
    </w:pPr>
    <w:rPr>
      <w:sz w:val="20"/>
      <w:szCs w:val="20"/>
      <w:lang w:eastAsia="pl-PL"/>
    </w:rPr>
    <w:tblPr>
      <w:tblStyleRowBandSize w:val="1"/>
      <w:tblStyleColBandSize w:val="1"/>
      <w:tblBorders>
        <w:top w:val="single" w:color="957000" w:themeColor="accent4" w:sz="4" w:space="0"/>
        <w:left w:val="single" w:color="957000" w:themeColor="accent4" w:sz="4" w:space="0"/>
        <w:bottom w:val="single" w:color="957000" w:themeColor="accent4" w:sz="4" w:space="0"/>
        <w:right w:val="single" w:color="957000" w:themeColor="accent4" w:sz="4" w:space="0"/>
        <w:insideH w:val="single" w:color="957000" w:themeColor="accent4" w:sz="4" w:space="0"/>
        <w:insideV w:val="single" w:color="957000" w:themeColor="accent4" w:sz="4" w:space="0"/>
      </w:tblBorders>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Pr/>
    </w:tblStylePr>
    <w:tblStylePr w:type="band2Vert">
      <w:rPr>
        <w:sz w:val="22"/>
      </w:rPr>
      <w:tblPr/>
      <w:tcPr>
        <w:shd w:val="clear" w:color="FFF2CB" w:fill="FFF2CB" w:themeFill="accent4" w:themeFillTint="34"/>
      </w:tcPr>
    </w:tblStylePr>
    <w:tblStylePr w:type="band1Horz">
      <w:rPr>
        <w:sz w:val="22"/>
      </w:rPr>
      <w:tbl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Standardowy"/>
    <w:uiPriority w:val="99"/>
    <w:pPr>
      <w:spacing w:after="0" w:line="240" w:lineRule="auto"/>
    </w:pPr>
    <w:rPr>
      <w:sz w:val="20"/>
      <w:szCs w:val="20"/>
      <w:lang w:eastAsia="pl-PL"/>
    </w:rPr>
    <w:tblPr>
      <w:tblStyleRowBandSize w:val="1"/>
      <w:tblStyleColBandSize w:val="1"/>
      <w:tblBorders>
        <w:top w:val="single" w:color="245A8D" w:themeColor="accent5" w:sz="4" w:space="0"/>
        <w:left w:val="single" w:color="245A8D" w:themeColor="accent5" w:sz="4" w:space="0"/>
        <w:bottom w:val="single" w:color="245A8D" w:themeColor="accent5" w:sz="4" w:space="0"/>
        <w:right w:val="single" w:color="245A8D" w:themeColor="accent5" w:sz="4" w:space="0"/>
        <w:insideH w:val="single" w:color="245A8D" w:themeColor="accent5" w:sz="4" w:space="0"/>
        <w:insideV w:val="single" w:color="245A8D" w:themeColor="accent5" w:sz="4" w:space="0"/>
      </w:tblBorders>
    </w:tblPr>
    <w:tblStylePr w:type="firstRow">
      <w:rPr>
        <w:sz w:val="22"/>
      </w:rPr>
      <w:tblPr/>
      <w:tcPr>
        <w:shd w:val="clear" w:color="5B9BD5" w:fill="5B9BD5" w:themeFill="accent5"/>
      </w:tcPr>
    </w:tblStylePr>
    <w:tblStylePr w:type="lastRow">
      <w:rPr>
        <w:sz w:val="22"/>
      </w:rPr>
      <w:tblPr/>
      <w:tcPr>
        <w:shd w:val="clear" w:color="5B9BD5" w:fill="5B9BD5" w:themeFill="accent5"/>
      </w:tcPr>
    </w:tblStylePr>
    <w:tblStylePr w:type="firstCol">
      <w:rPr>
        <w:sz w:val="22"/>
      </w:rPr>
      <w:tblPr/>
      <w:tcPr>
        <w:shd w:val="clear" w:color="5B9BD5" w:fill="5B9BD5" w:themeFill="accent5"/>
      </w:tcPr>
    </w:tblStylePr>
    <w:tblStylePr w:type="lastCol">
      <w:rPr>
        <w:sz w:val="22"/>
      </w:rPr>
      <w:tblPr/>
      <w:tcPr>
        <w:shd w:val="clear" w:color="5B9BD5" w:fill="5B9BD5" w:themeFill="accent5"/>
      </w:tcPr>
    </w:tblStylePr>
    <w:tblStylePr w:type="band1Vert">
      <w:rPr>
        <w:sz w:val="22"/>
      </w:rPr>
      <w:tblPr/>
    </w:tblStylePr>
    <w:tblStylePr w:type="band2Vert">
      <w:rPr>
        <w:sz w:val="22"/>
      </w:rPr>
      <w:tblPr/>
      <w:tcPr>
        <w:shd w:val="clear" w:color="DDEAF6" w:fill="DDEAF6" w:themeFill="accent5" w:themeFillTint="34"/>
      </w:tcPr>
    </w:tblStylePr>
    <w:tblStylePr w:type="band1Horz">
      <w:rPr>
        <w:sz w:val="22"/>
      </w:rPr>
      <w:tblPr/>
    </w:tblStylePr>
    <w:tblStylePr w:type="band2Horz">
      <w:rPr>
        <w:sz w:val="22"/>
      </w:rPr>
      <w:tblPr/>
      <w:tcPr>
        <w:shd w:val="clear" w:color="DDEAF6" w:fill="DDEAF6" w:themeFill="accent5" w:themeFillTint="34"/>
      </w:tcPr>
    </w:tblStylePr>
  </w:style>
  <w:style w:type="table" w:customStyle="1" w:styleId="BorderedLined-Accent6">
    <w:name w:val="Bordered &amp; Lined - Accent 6"/>
    <w:basedOn w:val="Standardowy"/>
    <w:uiPriority w:val="99"/>
    <w:pPr>
      <w:spacing w:after="0" w:line="240" w:lineRule="auto"/>
    </w:pPr>
    <w:rPr>
      <w:sz w:val="20"/>
      <w:szCs w:val="20"/>
      <w:lang w:eastAsia="pl-PL"/>
    </w:rPr>
    <w:tblPr>
      <w:tblStyleRowBandSize w:val="1"/>
      <w:tblStyleColBandSize w:val="1"/>
      <w:tblBorders>
        <w:top w:val="single" w:color="416429" w:themeColor="accent6" w:sz="4" w:space="0"/>
        <w:left w:val="single" w:color="416429" w:themeColor="accent6" w:sz="4" w:space="0"/>
        <w:bottom w:val="single" w:color="416429" w:themeColor="accent6" w:sz="4" w:space="0"/>
        <w:right w:val="single" w:color="416429" w:themeColor="accent6" w:sz="4" w:space="0"/>
        <w:insideH w:val="single" w:color="416429" w:themeColor="accent6" w:sz="4" w:space="0"/>
        <w:insideV w:val="single" w:color="416429" w:themeColor="accent6" w:sz="4" w:space="0"/>
      </w:tblBorders>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Pr/>
    </w:tblStylePr>
    <w:tblStylePr w:type="band2Vert">
      <w:rPr>
        <w:sz w:val="22"/>
      </w:rPr>
      <w:tblPr/>
      <w:tcPr>
        <w:shd w:val="clear" w:color="E1EFD8" w:fill="E1EFD8" w:themeFill="accent6" w:themeFillTint="34"/>
      </w:tcPr>
    </w:tblStylePr>
    <w:tblStylePr w:type="band1Horz">
      <w:rPr>
        <w:sz w:val="22"/>
      </w:rPr>
      <w:tblPr/>
    </w:tblStylePr>
    <w:tblStylePr w:type="band2Horz">
      <w:rPr>
        <w:sz w:val="22"/>
      </w:rPr>
      <w:tblPr/>
      <w:tcPr>
        <w:shd w:val="clear" w:color="E1EFD8" w:fill="E1EFD8" w:themeFill="accent6" w:themeFillTint="34"/>
      </w:tcPr>
    </w:tblStylePr>
  </w:style>
  <w:style w:type="table" w:customStyle="1" w:styleId="Bordered">
    <w:name w:val="Bordered"/>
    <w:basedOn w:val="Standardowy"/>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sz w:val="22"/>
      </w:rPr>
      <w:tblPr/>
      <w:tcPr>
        <w:tcBorders>
          <w:bottom w:val="single" w:color="7F7F7F" w:themeColor="text1" w:sz="12" w:space="0"/>
        </w:tcBorders>
      </w:tcPr>
    </w:tblStylePr>
    <w:tblStylePr w:type="lastRow">
      <w:rPr>
        <w:sz w:val="22"/>
      </w:rPr>
      <w:tblPr/>
      <w:tcPr>
        <w:tcBorders>
          <w:top w:val="single" w:color="7F7F7F" w:themeColor="text1" w:sz="12" w:space="0"/>
        </w:tcBorders>
      </w:tcPr>
    </w:tblStylePr>
    <w:tblStylePr w:type="firstCol">
      <w:rPr>
        <w:sz w:val="22"/>
      </w:rPr>
      <w:tblPr/>
    </w:tblStylePr>
    <w:tblStylePr w:type="lastCol">
      <w:rPr>
        <w:sz w:val="22"/>
      </w:rPr>
      <w:tblPr/>
      <w:tcPr>
        <w:tcBorders>
          <w:left w:val="single" w:color="7F7F7F" w:themeColor="text1" w:sz="12" w:space="0"/>
        </w:tcBorders>
      </w:tcPr>
    </w:tblStylePr>
    <w:tblStylePr w:type="band1Horz">
      <w:rPr>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Standardowy"/>
    <w:uiPriority w:val="99"/>
    <w:pPr>
      <w:spacing w:after="0" w:line="240" w:lineRule="auto"/>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firstRow">
      <w:rPr>
        <w:sz w:val="22"/>
      </w:rPr>
      <w:tblPr/>
      <w:tcPr>
        <w:tcBorders>
          <w:bottom w:val="single" w:color="4472C4" w:themeColor="accent1" w:sz="12" w:space="0"/>
        </w:tcBorders>
      </w:tcPr>
    </w:tblStylePr>
    <w:tblStylePr w:type="lastRow">
      <w:rPr>
        <w:sz w:val="22"/>
      </w:rPr>
      <w:tblPr/>
      <w:tcPr>
        <w:tcBorders>
          <w:top w:val="single" w:color="4472C4" w:themeColor="accent1" w:sz="12" w:space="0"/>
        </w:tcBorders>
      </w:tcPr>
    </w:tblStylePr>
    <w:tblStylePr w:type="firstCol">
      <w:rPr>
        <w:sz w:val="22"/>
      </w:rPr>
      <w:tblPr/>
    </w:tblStylePr>
    <w:tblStylePr w:type="lastCol">
      <w:rPr>
        <w:sz w:val="22"/>
      </w:rPr>
      <w:tblPr/>
      <w:tcPr>
        <w:tcBorders>
          <w:left w:val="single" w:color="4472C4" w:themeColor="accent1" w:sz="12" w:space="0"/>
        </w:tcBorders>
      </w:tcPr>
    </w:tblStylePr>
    <w:tblStylePr w:type="band1Horz">
      <w:rPr>
        <w:sz w:val="22"/>
      </w:rPr>
      <w:tblPr/>
      <w:tcPr>
        <w:tcBorders>
          <w:top w:val="single" w:color="B3C5E7" w:themeColor="accent1" w:sz="4" w:space="0"/>
          <w:left w:val="single" w:color="B3C5E7" w:themeColor="accent1" w:sz="4" w:space="0"/>
          <w:bottom w:val="single" w:color="B3C5E7" w:themeColor="accent1" w:sz="4" w:space="0"/>
          <w:right w:val="single" w:color="B3C5E7" w:themeColor="accent1" w:sz="4" w:space="0"/>
        </w:tcBorders>
      </w:tcPr>
    </w:tblStylePr>
  </w:style>
  <w:style w:type="table" w:customStyle="1" w:styleId="Bordered-Accent2">
    <w:name w:val="Bordered - Accent 2"/>
    <w:basedOn w:val="Standardowy"/>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sz w:val="22"/>
      </w:rPr>
      <w:tblPr/>
      <w:tcPr>
        <w:tcBorders>
          <w:bottom w:val="single" w:color="F4B184" w:themeColor="accent2" w:sz="12" w:space="0"/>
        </w:tcBorders>
      </w:tcPr>
    </w:tblStylePr>
    <w:tblStylePr w:type="lastRow">
      <w:rPr>
        <w:sz w:val="22"/>
      </w:rPr>
      <w:tblPr/>
      <w:tcPr>
        <w:tcBorders>
          <w:top w:val="single" w:color="F4B184" w:themeColor="accent2" w:sz="12" w:space="0"/>
        </w:tcBorders>
      </w:tcPr>
    </w:tblStylePr>
    <w:tblStylePr w:type="firstCol">
      <w:rPr>
        <w:sz w:val="22"/>
      </w:rPr>
      <w:tblPr/>
    </w:tblStylePr>
    <w:tblStylePr w:type="lastCol">
      <w:rPr>
        <w:sz w:val="22"/>
      </w:rPr>
      <w:tblPr/>
      <w:tcPr>
        <w:tcBorders>
          <w:left w:val="single" w:color="F4B184" w:themeColor="accent2" w:sz="12" w:space="0"/>
        </w:tcBorders>
      </w:tcPr>
    </w:tblStylePr>
    <w:tblStylePr w:type="band1Horz">
      <w:rPr>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style>
  <w:style w:type="table" w:customStyle="1" w:styleId="Bordered-Accent3">
    <w:name w:val="Bordered - Accent 3"/>
    <w:basedOn w:val="Standardowy"/>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sz w:val="22"/>
      </w:rPr>
      <w:tblPr/>
      <w:tcPr>
        <w:tcBorders>
          <w:bottom w:val="single" w:color="C9C9C9" w:themeColor="accent3" w:sz="12" w:space="0"/>
        </w:tcBorders>
      </w:tcPr>
    </w:tblStylePr>
    <w:tblStylePr w:type="lastRow">
      <w:rPr>
        <w:sz w:val="22"/>
      </w:rPr>
      <w:tblPr/>
      <w:tcPr>
        <w:tcBorders>
          <w:top w:val="single" w:color="C9C9C9" w:themeColor="accent3" w:sz="12" w:space="0"/>
        </w:tcBorders>
      </w:tcPr>
    </w:tblStylePr>
    <w:tblStylePr w:type="firstCol">
      <w:rPr>
        <w:sz w:val="22"/>
      </w:rPr>
      <w:tblPr/>
    </w:tblStylePr>
    <w:tblStylePr w:type="lastCol">
      <w:rPr>
        <w:sz w:val="22"/>
      </w:rPr>
      <w:tblPr/>
      <w:tcPr>
        <w:tcBorders>
          <w:left w:val="single" w:color="C9C9C9" w:themeColor="accent3" w:sz="12" w:space="0"/>
        </w:tcBorders>
      </w:tcPr>
    </w:tblStylePr>
    <w:tblStylePr w:type="band1Horz">
      <w:rPr>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style>
  <w:style w:type="table" w:customStyle="1" w:styleId="Bordered-Accent4">
    <w:name w:val="Bordered - Accent 4"/>
    <w:basedOn w:val="Standardowy"/>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sz w:val="22"/>
      </w:rPr>
      <w:tblPr/>
      <w:tcPr>
        <w:tcBorders>
          <w:bottom w:val="single" w:color="FFD865" w:themeColor="accent4" w:sz="12" w:space="0"/>
        </w:tcBorders>
      </w:tcPr>
    </w:tblStylePr>
    <w:tblStylePr w:type="lastRow">
      <w:rPr>
        <w:sz w:val="22"/>
      </w:rPr>
      <w:tblPr/>
      <w:tcPr>
        <w:tcBorders>
          <w:top w:val="single" w:color="FFD865" w:themeColor="accent4" w:sz="12" w:space="0"/>
        </w:tcBorders>
      </w:tcPr>
    </w:tblStylePr>
    <w:tblStylePr w:type="firstCol">
      <w:rPr>
        <w:sz w:val="22"/>
      </w:rPr>
      <w:tblPr/>
    </w:tblStylePr>
    <w:tblStylePr w:type="lastCol">
      <w:rPr>
        <w:sz w:val="22"/>
      </w:rPr>
      <w:tblPr/>
      <w:tcPr>
        <w:tcBorders>
          <w:left w:val="single" w:color="FFD865" w:themeColor="accent4" w:sz="12" w:space="0"/>
        </w:tcBorders>
      </w:tcPr>
    </w:tblStylePr>
    <w:tblStylePr w:type="band1Horz">
      <w:rPr>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style>
  <w:style w:type="table" w:customStyle="1" w:styleId="Bordered-Accent5">
    <w:name w:val="Bordered - Accent 5"/>
    <w:basedOn w:val="Standardowy"/>
    <w:uiPriority w:val="99"/>
    <w:pPr>
      <w:spacing w:after="0" w:line="240" w:lineRule="auto"/>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sz w:val="22"/>
      </w:rPr>
      <w:tblPr/>
      <w:tcPr>
        <w:tcBorders>
          <w:bottom w:val="single" w:color="9BC2E5" w:themeColor="accent5" w:sz="12" w:space="0"/>
        </w:tcBorders>
      </w:tcPr>
    </w:tblStylePr>
    <w:tblStylePr w:type="lastRow">
      <w:rPr>
        <w:sz w:val="22"/>
      </w:rPr>
      <w:tblPr/>
      <w:tcPr>
        <w:tcBorders>
          <w:top w:val="single" w:color="9BC2E5" w:themeColor="accent5" w:sz="12" w:space="0"/>
        </w:tcBorders>
      </w:tcPr>
    </w:tblStylePr>
    <w:tblStylePr w:type="firstCol">
      <w:rPr>
        <w:sz w:val="22"/>
      </w:rPr>
      <w:tblPr/>
    </w:tblStylePr>
    <w:tblStylePr w:type="lastCol">
      <w:rPr>
        <w:sz w:val="22"/>
      </w:rPr>
      <w:tblPr/>
      <w:tcPr>
        <w:tcBorders>
          <w:left w:val="single" w:color="9BC2E5" w:themeColor="accent5" w:sz="12" w:space="0"/>
        </w:tcBorders>
      </w:tcPr>
    </w:tblStylePr>
    <w:tblStylePr w:type="band1Horz">
      <w:rPr>
        <w:sz w:val="22"/>
      </w:rPr>
      <w:tblPr/>
      <w:tcPr>
        <w:tcBorders>
          <w:top w:val="single" w:color="BCD6EE" w:themeColor="accent5" w:sz="4" w:space="0"/>
          <w:left w:val="single" w:color="BCD6EE" w:themeColor="accent5" w:sz="4" w:space="0"/>
          <w:bottom w:val="single" w:color="BCD6EE" w:themeColor="accent5" w:sz="4" w:space="0"/>
          <w:right w:val="single" w:color="BCD6EE" w:themeColor="accent5" w:sz="4" w:space="0"/>
        </w:tcBorders>
      </w:tcPr>
    </w:tblStylePr>
  </w:style>
  <w:style w:type="table" w:customStyle="1" w:styleId="Bordered-Accent6">
    <w:name w:val="Bordered - Accent 6"/>
    <w:basedOn w:val="Standardowy"/>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sz w:val="22"/>
      </w:rPr>
      <w:tblPr/>
      <w:tcPr>
        <w:tcBorders>
          <w:bottom w:val="single" w:color="A9D08E" w:themeColor="accent6" w:sz="12" w:space="0"/>
        </w:tcBorders>
      </w:tcPr>
    </w:tblStylePr>
    <w:tblStylePr w:type="lastRow">
      <w:rPr>
        <w:sz w:val="22"/>
      </w:rPr>
      <w:tblPr/>
      <w:tcPr>
        <w:tcBorders>
          <w:top w:val="single" w:color="A9D08E" w:themeColor="accent6" w:sz="12" w:space="0"/>
        </w:tcBorders>
      </w:tcPr>
    </w:tblStylePr>
    <w:tblStylePr w:type="firstCol">
      <w:rPr>
        <w:sz w:val="22"/>
      </w:rPr>
      <w:tblPr/>
    </w:tblStylePr>
    <w:tblStylePr w:type="lastCol">
      <w:rPr>
        <w:sz w:val="22"/>
      </w:rPr>
      <w:tblPr/>
      <w:tcPr>
        <w:tcBorders>
          <w:left w:val="single" w:color="A9D08E" w:themeColor="accent6" w:sz="12" w:space="0"/>
        </w:tcBorders>
      </w:tcPr>
    </w:tblStylePr>
    <w:tblStylePr w:type="band1Horz">
      <w:rPr>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9654A-C79B-4EAE-9CEF-9C0C59611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Application>LibreOffice/25.8.5.2$Windows_X86_64 LibreOffice_project/9c8b85f387cc00a89945a79c9e6239f32e450ac2</Application>
  <AppVersion>15.0000</AppVersion>
  <Pages>19</Pages>
  <Words>8035</Words>
  <Characters>52334</Characters>
  <CharactersWithSpaces>60075</CharactersWithSpaces>
  <Paragraphs>330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2025-02-06T10:36:00Z</dcterms:created>
  <dc:creator>Jarosław Słonina</dc:creator>
  <dc:description/>
  <dc:language>pl-PL</dc:language>
  <cp:lastModifiedBy>UG KUNICE</cp:lastModifiedBy>
  <dcterms:modified xsi:type="dcterms:W3CDTF">2026-03-31T12:50:00Z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